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B4EAB6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63658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63658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99B677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0339CE">
        <w:rPr>
          <w:rFonts w:ascii="Arial" w:hAnsi="Arial" w:cs="Arial"/>
          <w:sz w:val="28"/>
          <w:szCs w:val="28"/>
        </w:rPr>
        <w:t>1</w:t>
      </w:r>
      <w:r w:rsidR="00A6735D">
        <w:rPr>
          <w:rFonts w:ascii="Arial" w:hAnsi="Arial" w:cs="Arial"/>
          <w:sz w:val="28"/>
          <w:szCs w:val="28"/>
        </w:rPr>
        <w:t>3</w:t>
      </w:r>
      <w:r w:rsidRPr="00F3140D">
        <w:rPr>
          <w:rFonts w:ascii="Arial" w:hAnsi="Arial" w:cs="Arial"/>
          <w:sz w:val="28"/>
          <w:szCs w:val="28"/>
        </w:rPr>
        <w:t>/202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2743186C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0339CE">
        <w:rPr>
          <w:rFonts w:ascii="Arial" w:hAnsi="Arial" w:cs="Arial"/>
          <w:sz w:val="28"/>
          <w:szCs w:val="28"/>
        </w:rPr>
        <w:t>1</w:t>
      </w:r>
      <w:r w:rsidR="00A6735D">
        <w:rPr>
          <w:rFonts w:ascii="Arial" w:hAnsi="Arial" w:cs="Arial"/>
          <w:sz w:val="28"/>
          <w:szCs w:val="28"/>
        </w:rPr>
        <w:t>3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0339CE">
        <w:rPr>
          <w:rFonts w:ascii="Arial" w:hAnsi="Arial" w:cs="Arial"/>
          <w:sz w:val="28"/>
          <w:szCs w:val="28"/>
        </w:rPr>
        <w:t>1</w:t>
      </w:r>
      <w:r w:rsidR="00A6735D">
        <w:rPr>
          <w:rFonts w:ascii="Arial" w:hAnsi="Arial" w:cs="Arial"/>
          <w:sz w:val="28"/>
          <w:szCs w:val="28"/>
        </w:rPr>
        <w:t>7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0339CE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0084E8C3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A6735D">
        <w:rPr>
          <w:rFonts w:ascii="Arial" w:hAnsi="Arial" w:cs="Arial"/>
          <w:bCs/>
          <w:sz w:val="28"/>
          <w:szCs w:val="28"/>
        </w:rPr>
        <w:t>Contratação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 de Crédito</w:t>
      </w:r>
      <w:r w:rsidR="007425E3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62379C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7425E3">
        <w:rPr>
          <w:rFonts w:ascii="Arial" w:hAnsi="Arial" w:cs="Arial"/>
          <w:b/>
          <w:bCs/>
          <w:sz w:val="28"/>
          <w:szCs w:val="28"/>
        </w:rPr>
        <w:t xml:space="preserve"> </w:t>
      </w:r>
      <w:r w:rsidR="00575B9B">
        <w:rPr>
          <w:rFonts w:ascii="Arial" w:hAnsi="Arial" w:cs="Arial"/>
          <w:sz w:val="28"/>
          <w:szCs w:val="28"/>
        </w:rPr>
        <w:t xml:space="preserve">Lucas Justin Vieira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AAF4AE2" w14:textId="77777777" w:rsidR="00A6735D" w:rsidRDefault="00B101FB" w:rsidP="00A6735D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A6735D" w:rsidRPr="00A6735D">
        <w:rPr>
          <w:rFonts w:ascii="Times New Roman" w:hAnsi="Times New Roman" w:cs="Times New Roman"/>
          <w:i/>
          <w:iCs/>
          <w:sz w:val="28"/>
          <w:szCs w:val="28"/>
        </w:rPr>
        <w:t>Autoriza o Poder Executivo a contratar operação de crédito com o BADESUL DESENVOLVIMENTO S.A. – Agência de Fomento/RS, e dá outras providências.</w:t>
      </w:r>
    </w:p>
    <w:p w14:paraId="648CB41D" w14:textId="77777777" w:rsidR="00A6735D" w:rsidRDefault="00A6735D" w:rsidP="00A6735D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0936F139" w14:textId="31D8C866" w:rsidR="006B0F4E" w:rsidRDefault="001C5DF9" w:rsidP="00A6735D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66D16DDF" w14:textId="67BD5C26" w:rsidR="000339C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 xml:space="preserve">Trata-se de parecer jurídico acerca do Projeto de Lei Municipal nº </w:t>
      </w:r>
      <w:r w:rsidR="000339CE">
        <w:rPr>
          <w:rFonts w:ascii="Arial" w:hAnsi="Arial" w:cs="Arial"/>
          <w:sz w:val="28"/>
          <w:szCs w:val="28"/>
        </w:rPr>
        <w:t>1</w:t>
      </w:r>
      <w:r w:rsidR="00A6735D">
        <w:rPr>
          <w:rFonts w:ascii="Arial" w:hAnsi="Arial" w:cs="Arial"/>
          <w:sz w:val="28"/>
          <w:szCs w:val="28"/>
        </w:rPr>
        <w:t>3</w:t>
      </w:r>
      <w:r w:rsidRPr="004D015E">
        <w:rPr>
          <w:rFonts w:ascii="Arial" w:hAnsi="Arial" w:cs="Arial"/>
          <w:sz w:val="28"/>
          <w:szCs w:val="28"/>
        </w:rPr>
        <w:t>/2026, de iniciativa do Chefe do Poder Executivo, que autoriza a</w:t>
      </w:r>
      <w:r w:rsidR="00A6735D" w:rsidRPr="00A6735D">
        <w:rPr>
          <w:rFonts w:ascii="Arial" w:hAnsi="Arial" w:cs="Arial"/>
          <w:sz w:val="28"/>
          <w:szCs w:val="28"/>
        </w:rPr>
        <w:t xml:space="preserve"> contrata</w:t>
      </w:r>
      <w:r w:rsidR="00A6735D">
        <w:rPr>
          <w:rFonts w:ascii="Arial" w:hAnsi="Arial" w:cs="Arial"/>
          <w:sz w:val="28"/>
          <w:szCs w:val="28"/>
        </w:rPr>
        <w:t>ção de</w:t>
      </w:r>
      <w:r w:rsidR="00A6735D" w:rsidRPr="00A6735D">
        <w:rPr>
          <w:rFonts w:ascii="Arial" w:hAnsi="Arial" w:cs="Arial"/>
          <w:sz w:val="28"/>
          <w:szCs w:val="28"/>
        </w:rPr>
        <w:t xml:space="preserve"> operação de crédito junto ao BADESUL para financiamento de obra de infraestrutura educacional</w:t>
      </w:r>
      <w:r w:rsidR="00A6735D">
        <w:rPr>
          <w:rFonts w:ascii="Arial" w:hAnsi="Arial" w:cs="Arial"/>
          <w:sz w:val="28"/>
          <w:szCs w:val="28"/>
        </w:rPr>
        <w:t xml:space="preserve"> (Escola Infantil).</w:t>
      </w:r>
    </w:p>
    <w:p w14:paraId="10048375" w14:textId="0A0B192C" w:rsidR="004D015E" w:rsidRPr="004D015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>É o relatório.</w:t>
      </w:r>
    </w:p>
    <w:p w14:paraId="62F3B2DE" w14:textId="77777777" w:rsidR="00445A71" w:rsidRDefault="00445A71" w:rsidP="00130FE5">
      <w:pPr>
        <w:rPr>
          <w:rFonts w:ascii="Arial" w:hAnsi="Arial" w:cs="Arial"/>
          <w:b/>
          <w:bCs/>
          <w:sz w:val="32"/>
          <w:szCs w:val="32"/>
        </w:rPr>
      </w:pPr>
    </w:p>
    <w:p w14:paraId="0B1CF76A" w14:textId="75BDB27F" w:rsidR="00B101FB" w:rsidRDefault="00B101FB" w:rsidP="000339CE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25307513" w14:textId="77777777" w:rsidR="00DC7661" w:rsidRDefault="00A6735D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A</w:t>
      </w:r>
      <w:r w:rsidRPr="00A6735D">
        <w:rPr>
          <w:rFonts w:ascii="Arial" w:hAnsi="Arial" w:cs="Arial"/>
          <w:sz w:val="28"/>
          <w:szCs w:val="28"/>
        </w:rPr>
        <w:t xml:space="preserve"> matéria insere-se na competência legislativa municipal para dispor sobre assuntos de interesse local e gestão de seu orçamento, nos termos do art. 30, I e III da Constituição Federal de 1988, bem como na prerrogativa do Poder Executivo de conduzir a política fiscal e administrativa, dependendo, contudo, de autorização legislativa específica para contratação de crédito, o que é devidamente observado no projeto, em consonância com o art. 52, VI da Constituição, que atribui ao Senado Federal a fixação de limites e condições para operações de crédito dos entes subnacionais, regulamentadas pela Resolução nº 43/2001 do Senado Federal, expressamente mencionada no texto</w:t>
      </w:r>
      <w:r w:rsidR="00DC7661">
        <w:rPr>
          <w:rFonts w:ascii="Arial" w:hAnsi="Arial" w:cs="Arial"/>
          <w:sz w:val="28"/>
          <w:szCs w:val="28"/>
        </w:rPr>
        <w:t>.</w:t>
      </w:r>
    </w:p>
    <w:p w14:paraId="03F8C846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555A0D8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</w:t>
      </w:r>
      <w:r w:rsidR="00A6735D" w:rsidRPr="00A6735D">
        <w:rPr>
          <w:rFonts w:ascii="Arial" w:hAnsi="Arial" w:cs="Arial"/>
          <w:sz w:val="28"/>
          <w:szCs w:val="28"/>
        </w:rPr>
        <w:t xml:space="preserve">ob a ótica legal, a proposição também se submete às exigências da Lei de Responsabilidade Fiscal, especialmente quanto aos </w:t>
      </w:r>
      <w:proofErr w:type="spellStart"/>
      <w:r w:rsidR="00A6735D" w:rsidRPr="00A6735D">
        <w:rPr>
          <w:rFonts w:ascii="Arial" w:hAnsi="Arial" w:cs="Arial"/>
          <w:sz w:val="28"/>
          <w:szCs w:val="28"/>
        </w:rPr>
        <w:t>arts</w:t>
      </w:r>
      <w:proofErr w:type="spellEnd"/>
      <w:r w:rsidR="00A6735D" w:rsidRPr="00A6735D">
        <w:rPr>
          <w:rFonts w:ascii="Arial" w:hAnsi="Arial" w:cs="Arial"/>
          <w:sz w:val="28"/>
          <w:szCs w:val="28"/>
        </w:rPr>
        <w:t>. 29 a 32, que condicionam a contratação de operações de crédito à demonstração da capacidade de pagamento, respeito aos limites de endividamento, existência de prévia autorização legislativa, inclusão no orçamento ou em créditos adicionais e observância do equilíbrio fiscal, sendo positivo o fato de o projeto prever a consignação orçamentária futura (art. 7º) e a vinculação ao PPA e à LOA, conforme exposto na justificativa</w:t>
      </w:r>
      <w:r>
        <w:rPr>
          <w:rFonts w:ascii="Arial" w:hAnsi="Arial" w:cs="Arial"/>
          <w:sz w:val="28"/>
          <w:szCs w:val="28"/>
        </w:rPr>
        <w:t>.</w:t>
      </w:r>
    </w:p>
    <w:p w14:paraId="6DFBDDB6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A6083D8" w14:textId="77777777" w:rsidR="00DC7661" w:rsidRDefault="00A6735D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A6735D">
        <w:rPr>
          <w:rFonts w:ascii="Arial" w:hAnsi="Arial" w:cs="Arial"/>
          <w:sz w:val="28"/>
          <w:szCs w:val="28"/>
        </w:rPr>
        <w:t xml:space="preserve"> </w:t>
      </w:r>
      <w:r w:rsidR="00DC7661">
        <w:rPr>
          <w:rFonts w:ascii="Arial" w:hAnsi="Arial" w:cs="Arial"/>
          <w:sz w:val="28"/>
          <w:szCs w:val="28"/>
        </w:rPr>
        <w:t>N</w:t>
      </w:r>
      <w:r w:rsidRPr="00A6735D">
        <w:rPr>
          <w:rFonts w:ascii="Arial" w:hAnsi="Arial" w:cs="Arial"/>
          <w:sz w:val="28"/>
          <w:szCs w:val="28"/>
        </w:rPr>
        <w:t>ão obstante, sob o enfoque da técnica legislativa e da segurança jurídica, identificam-se impropriedades que merecem ressalva, como a duplicidade de dispositivos sobre vigência (</w:t>
      </w:r>
      <w:proofErr w:type="spellStart"/>
      <w:r w:rsidRPr="00A6735D">
        <w:rPr>
          <w:rFonts w:ascii="Arial" w:hAnsi="Arial" w:cs="Arial"/>
          <w:sz w:val="28"/>
          <w:szCs w:val="28"/>
        </w:rPr>
        <w:t>arts</w:t>
      </w:r>
      <w:proofErr w:type="spellEnd"/>
      <w:r w:rsidRPr="00A6735D">
        <w:rPr>
          <w:rFonts w:ascii="Arial" w:hAnsi="Arial" w:cs="Arial"/>
          <w:sz w:val="28"/>
          <w:szCs w:val="28"/>
        </w:rPr>
        <w:t xml:space="preserve">. 8º e 9º), o que afronta o princípio da clareza e precisão normativa </w:t>
      </w:r>
      <w:r w:rsidRPr="00A6735D">
        <w:rPr>
          <w:rFonts w:ascii="Arial" w:hAnsi="Arial" w:cs="Arial"/>
          <w:sz w:val="28"/>
          <w:szCs w:val="28"/>
        </w:rPr>
        <w:lastRenderedPageBreak/>
        <w:t>previsto na Lei Complementar nº 95/1998, além da redação imprecisa do art. 1º (“destinados à para obras”), que compromete a qualidade formal do ato normativo, recomendando-se ajuste redacional</w:t>
      </w:r>
      <w:r w:rsidR="00DC7661">
        <w:rPr>
          <w:rFonts w:ascii="Arial" w:hAnsi="Arial" w:cs="Arial"/>
          <w:sz w:val="28"/>
          <w:szCs w:val="28"/>
        </w:rPr>
        <w:t>.</w:t>
      </w:r>
      <w:r w:rsidRPr="00A6735D">
        <w:rPr>
          <w:rFonts w:ascii="Arial" w:hAnsi="Arial" w:cs="Arial"/>
          <w:sz w:val="28"/>
          <w:szCs w:val="28"/>
        </w:rPr>
        <w:t xml:space="preserve"> </w:t>
      </w:r>
    </w:p>
    <w:p w14:paraId="5F351658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3D48AF4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</w:t>
      </w:r>
      <w:r w:rsidR="00A6735D" w:rsidRPr="00A6735D">
        <w:rPr>
          <w:rFonts w:ascii="Arial" w:hAnsi="Arial" w:cs="Arial"/>
          <w:sz w:val="28"/>
          <w:szCs w:val="28"/>
        </w:rPr>
        <w:t>o tocante às garantias oferecidas (vinculação de receitas, inclusive quotas do ICMS e FPM), a jurisprudência do Supremo Tribunal Federal admite a vinculação de receitas para garantia de operações de crédito, desde que não viole hipóteses constitucionais de vedação e respeite o regime de repartição de receitas, sendo igualmente pacífico no Superior Tribunal de Justiça o entendimento de que tais mecanismos são legítimos instrumentos de garantia contratual em operações com instituições financeiras públicas, desde que previstos em lei autorizativa e observados os limites legais</w:t>
      </w:r>
      <w:r>
        <w:rPr>
          <w:rFonts w:ascii="Arial" w:hAnsi="Arial" w:cs="Arial"/>
          <w:sz w:val="28"/>
          <w:szCs w:val="28"/>
        </w:rPr>
        <w:t>.</w:t>
      </w:r>
    </w:p>
    <w:p w14:paraId="60B13D76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91CEE55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Ressalta-se</w:t>
      </w:r>
      <w:r w:rsidR="00A6735D" w:rsidRPr="00A6735D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 xml:space="preserve">ainda, </w:t>
      </w:r>
      <w:r w:rsidR="00A6735D" w:rsidRPr="00A6735D">
        <w:rPr>
          <w:rFonts w:ascii="Arial" w:hAnsi="Arial" w:cs="Arial"/>
          <w:sz w:val="28"/>
          <w:szCs w:val="28"/>
        </w:rPr>
        <w:t xml:space="preserve">quanto ao mérito, a finalidade pública do investimento em educação infantil </w:t>
      </w:r>
      <w:r>
        <w:rPr>
          <w:rFonts w:ascii="Arial" w:hAnsi="Arial" w:cs="Arial"/>
          <w:sz w:val="28"/>
          <w:szCs w:val="28"/>
        </w:rPr>
        <w:t xml:space="preserve">com a abertura de uma escola infantil, </w:t>
      </w:r>
      <w:r w:rsidR="00A6735D" w:rsidRPr="00A6735D">
        <w:rPr>
          <w:rFonts w:ascii="Arial" w:hAnsi="Arial" w:cs="Arial"/>
          <w:sz w:val="28"/>
          <w:szCs w:val="28"/>
        </w:rPr>
        <w:t>revela</w:t>
      </w:r>
      <w:r>
        <w:rPr>
          <w:rFonts w:ascii="Arial" w:hAnsi="Arial" w:cs="Arial"/>
          <w:sz w:val="28"/>
          <w:szCs w:val="28"/>
        </w:rPr>
        <w:t>ndo</w:t>
      </w:r>
      <w:r w:rsidR="00A6735D" w:rsidRPr="00A6735D">
        <w:rPr>
          <w:rFonts w:ascii="Arial" w:hAnsi="Arial" w:cs="Arial"/>
          <w:sz w:val="28"/>
          <w:szCs w:val="28"/>
        </w:rPr>
        <w:t xml:space="preserve"> aderência aos direitos sociais previstos no art. 6º da Constituição e ao dever estatal de garantia de acesso à educação, o que reforça a legitimidade material da iniciativa</w:t>
      </w:r>
      <w:r>
        <w:rPr>
          <w:rFonts w:ascii="Arial" w:hAnsi="Arial" w:cs="Arial"/>
          <w:sz w:val="28"/>
          <w:szCs w:val="28"/>
        </w:rPr>
        <w:t>.</w:t>
      </w:r>
      <w:r w:rsidR="00A6735D" w:rsidRPr="00A6735D">
        <w:rPr>
          <w:rFonts w:ascii="Arial" w:hAnsi="Arial" w:cs="Arial"/>
          <w:sz w:val="28"/>
          <w:szCs w:val="28"/>
        </w:rPr>
        <w:t xml:space="preserve"> </w:t>
      </w:r>
    </w:p>
    <w:p w14:paraId="132AD748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3166A4F" w14:textId="0503D741" w:rsidR="00445A7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</w:t>
      </w:r>
      <w:r w:rsidR="00A6735D" w:rsidRPr="00A6735D">
        <w:rPr>
          <w:rFonts w:ascii="Arial" w:hAnsi="Arial" w:cs="Arial"/>
          <w:sz w:val="28"/>
          <w:szCs w:val="28"/>
        </w:rPr>
        <w:t xml:space="preserve">onclui-se, portanto, que o projeto é juridicamente viável e constitucional em sua essência, desde que sanadas as falhas de técnica legislativa e demonstrado, de forma robusta, o cumprimento dos requisitos fiscais e orçamentários exigidos pela </w:t>
      </w:r>
      <w:r w:rsidR="00A6735D" w:rsidRPr="00A6735D">
        <w:rPr>
          <w:rFonts w:ascii="Arial" w:hAnsi="Arial" w:cs="Arial"/>
          <w:sz w:val="28"/>
          <w:szCs w:val="28"/>
        </w:rPr>
        <w:lastRenderedPageBreak/>
        <w:t>legislação vigente e pela jurisprudência das Cortes Superiores, sob pena de comprometimento de sua validade e eficácia.</w:t>
      </w:r>
    </w:p>
    <w:p w14:paraId="734F3BF5" w14:textId="77777777" w:rsidR="00DC7661" w:rsidRDefault="00DC766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799E93" w14:textId="77777777" w:rsidR="008467F1" w:rsidRDefault="008467F1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63422F4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9D7A7DE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CFA14F9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83E72BA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422353D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45B2AE7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294A818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FADB2C9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4228691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155153C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5D447D4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DC51B2A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7CC2EDBC" w14:textId="77777777" w:rsidR="00DC7661" w:rsidRDefault="00DC7661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371B5FA" w14:textId="77777777" w:rsidR="00DC7661" w:rsidRDefault="00DC7661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5B0767" w14:textId="77777777" w:rsidR="00DC7661" w:rsidRDefault="00DC7661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3F2CA50" w14:textId="77777777" w:rsidR="00DC7661" w:rsidRDefault="00DC7661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EA9311D" w14:textId="744852AD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3598D4CB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0339CE">
        <w:rPr>
          <w:rFonts w:ascii="Arial" w:hAnsi="Arial" w:cs="Arial"/>
          <w:sz w:val="28"/>
          <w:szCs w:val="28"/>
        </w:rPr>
        <w:t>30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0339CE">
        <w:rPr>
          <w:rFonts w:ascii="Arial" w:hAnsi="Arial" w:cs="Arial"/>
          <w:sz w:val="28"/>
          <w:szCs w:val="28"/>
        </w:rPr>
        <w:t>março</w:t>
      </w:r>
      <w:r>
        <w:rPr>
          <w:rFonts w:ascii="Arial" w:hAnsi="Arial" w:cs="Arial"/>
          <w:sz w:val="28"/>
          <w:szCs w:val="28"/>
        </w:rPr>
        <w:t xml:space="preserve"> de 202</w:t>
      </w:r>
      <w:r w:rsidR="00790E60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D4B4F56" w14:textId="77777777" w:rsidR="002973D0" w:rsidRDefault="002973D0" w:rsidP="002973D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4D2F8CEE" w14:textId="77777777" w:rsidR="002973D0" w:rsidRDefault="002973D0" w:rsidP="002973D0">
      <w:pPr>
        <w:jc w:val="both"/>
        <w:rPr>
          <w:rFonts w:ascii="Arial" w:hAnsi="Arial" w:cs="Arial"/>
          <w:sz w:val="28"/>
          <w:szCs w:val="28"/>
        </w:rPr>
      </w:pPr>
    </w:p>
    <w:p w14:paraId="343E5583" w14:textId="77777777" w:rsidR="002973D0" w:rsidRDefault="002973D0" w:rsidP="002973D0">
      <w:pPr>
        <w:jc w:val="both"/>
        <w:rPr>
          <w:rFonts w:ascii="Arial" w:hAnsi="Arial" w:cs="Arial"/>
          <w:sz w:val="28"/>
          <w:szCs w:val="28"/>
        </w:rPr>
      </w:pPr>
    </w:p>
    <w:p w14:paraId="56634E44" w14:textId="77777777" w:rsidR="002973D0" w:rsidRPr="006556E4" w:rsidRDefault="002973D0" w:rsidP="002973D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41C47D21" w14:textId="3DC302B3" w:rsidR="00C02D3D" w:rsidRPr="006556E4" w:rsidRDefault="00C02D3D" w:rsidP="002973D0">
      <w:pPr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BC2C78" w14:textId="77777777" w:rsidR="002169AF" w:rsidRDefault="002169AF" w:rsidP="002A69D2">
      <w:pPr>
        <w:spacing w:after="0" w:line="240" w:lineRule="auto"/>
      </w:pPr>
      <w:r>
        <w:separator/>
      </w:r>
    </w:p>
  </w:endnote>
  <w:endnote w:type="continuationSeparator" w:id="0">
    <w:p w14:paraId="7AD2F95D" w14:textId="77777777" w:rsidR="002169AF" w:rsidRDefault="002169AF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D75C66" w14:textId="77777777" w:rsidR="002169AF" w:rsidRDefault="002169AF" w:rsidP="002A69D2">
      <w:pPr>
        <w:spacing w:after="0" w:line="240" w:lineRule="auto"/>
      </w:pPr>
      <w:r>
        <w:separator/>
      </w:r>
    </w:p>
  </w:footnote>
  <w:footnote w:type="continuationSeparator" w:id="0">
    <w:p w14:paraId="1C42CFAF" w14:textId="77777777" w:rsidR="002169AF" w:rsidRDefault="002169AF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339CE"/>
    <w:rsid w:val="0005019E"/>
    <w:rsid w:val="00052FC9"/>
    <w:rsid w:val="000548BB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69AF"/>
    <w:rsid w:val="00217919"/>
    <w:rsid w:val="002245F4"/>
    <w:rsid w:val="00265959"/>
    <w:rsid w:val="00280D3B"/>
    <w:rsid w:val="002840A3"/>
    <w:rsid w:val="002960B1"/>
    <w:rsid w:val="002973D0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16FB3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D015E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B9B"/>
    <w:rsid w:val="00575E16"/>
    <w:rsid w:val="00581A66"/>
    <w:rsid w:val="00585A73"/>
    <w:rsid w:val="005925C9"/>
    <w:rsid w:val="0059500F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425E3"/>
    <w:rsid w:val="00752FA8"/>
    <w:rsid w:val="00764B5A"/>
    <w:rsid w:val="007841EA"/>
    <w:rsid w:val="00790E60"/>
    <w:rsid w:val="00797B07"/>
    <w:rsid w:val="00797F28"/>
    <w:rsid w:val="007A50E1"/>
    <w:rsid w:val="007C3B67"/>
    <w:rsid w:val="007F018B"/>
    <w:rsid w:val="0080150D"/>
    <w:rsid w:val="00804AF0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6735D"/>
    <w:rsid w:val="00A70527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14D66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C7661"/>
    <w:rsid w:val="00DD02C2"/>
    <w:rsid w:val="00DE7186"/>
    <w:rsid w:val="00E108F4"/>
    <w:rsid w:val="00E27810"/>
    <w:rsid w:val="00E27FE0"/>
    <w:rsid w:val="00E360A2"/>
    <w:rsid w:val="00E519D5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610</Words>
  <Characters>3347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2025-09-22T17:44:00Z</cp:lastPrinted>
  <dcterms:created xsi:type="dcterms:W3CDTF">2026-03-30T14:21:00Z</dcterms:created>
  <dcterms:modified xsi:type="dcterms:W3CDTF">2026-03-30T17:07:00Z</dcterms:modified>
</cp:coreProperties>
</file>