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0E69" w14:textId="1FAEEE81" w:rsidR="00B101FB" w:rsidRPr="00F3140D" w:rsidRDefault="00B101FB" w:rsidP="00A70527">
      <w:pPr>
        <w:jc w:val="center"/>
        <w:rPr>
          <w:rFonts w:ascii="Arial" w:hAnsi="Arial" w:cs="Arial"/>
          <w:b/>
          <w:bCs/>
          <w:sz w:val="32"/>
          <w:szCs w:val="32"/>
        </w:rPr>
      </w:pPr>
      <w:r w:rsidRPr="00F3140D">
        <w:rPr>
          <w:rFonts w:ascii="Arial" w:hAnsi="Arial" w:cs="Arial"/>
          <w:b/>
          <w:bCs/>
          <w:sz w:val="32"/>
          <w:szCs w:val="32"/>
        </w:rPr>
        <w:t>COMISSÃO DE CONSTITUIÇÃO E JUSTIÇA (CCJ)</w:t>
      </w:r>
    </w:p>
    <w:p w14:paraId="7B9EC2FC" w14:textId="77777777" w:rsidR="00B101FB" w:rsidRPr="00F3140D" w:rsidRDefault="00B101FB" w:rsidP="00B101FB">
      <w:pPr>
        <w:rPr>
          <w:rFonts w:ascii="Arial" w:hAnsi="Arial" w:cs="Arial"/>
          <w:b/>
          <w:bCs/>
          <w:sz w:val="32"/>
          <w:szCs w:val="32"/>
        </w:rPr>
      </w:pPr>
    </w:p>
    <w:p w14:paraId="14AB2CAB" w14:textId="6B58DDA5" w:rsidR="00B101FB" w:rsidRPr="00F3140D" w:rsidRDefault="00B101FB" w:rsidP="00B101FB">
      <w:pPr>
        <w:spacing w:after="0"/>
        <w:jc w:val="both"/>
        <w:rPr>
          <w:rFonts w:ascii="Arial" w:hAnsi="Arial" w:cs="Arial"/>
          <w:sz w:val="28"/>
          <w:szCs w:val="28"/>
        </w:rPr>
      </w:pPr>
      <w:r w:rsidRPr="00F3140D">
        <w:rPr>
          <w:rFonts w:ascii="Arial" w:hAnsi="Arial" w:cs="Arial"/>
          <w:b/>
          <w:bCs/>
          <w:sz w:val="28"/>
          <w:szCs w:val="28"/>
        </w:rPr>
        <w:t xml:space="preserve">Parecer: </w:t>
      </w:r>
      <w:r w:rsidRPr="00F3140D">
        <w:rPr>
          <w:rFonts w:ascii="Arial" w:hAnsi="Arial" w:cs="Arial"/>
          <w:sz w:val="28"/>
          <w:szCs w:val="28"/>
        </w:rPr>
        <w:t>0</w:t>
      </w:r>
      <w:r w:rsidR="002A6F90">
        <w:rPr>
          <w:rFonts w:ascii="Arial" w:hAnsi="Arial" w:cs="Arial"/>
          <w:sz w:val="28"/>
          <w:szCs w:val="28"/>
        </w:rPr>
        <w:t>6</w:t>
      </w:r>
      <w:r w:rsidRPr="00F3140D">
        <w:rPr>
          <w:rFonts w:ascii="Arial" w:hAnsi="Arial" w:cs="Arial"/>
          <w:sz w:val="28"/>
          <w:szCs w:val="28"/>
        </w:rPr>
        <w:t>/2025</w:t>
      </w:r>
      <w:r w:rsidR="00ED6825">
        <w:rPr>
          <w:rFonts w:ascii="Arial" w:hAnsi="Arial" w:cs="Arial"/>
          <w:sz w:val="28"/>
          <w:szCs w:val="28"/>
        </w:rPr>
        <w:t xml:space="preserve"> (legislativo)</w:t>
      </w:r>
    </w:p>
    <w:p w14:paraId="05DD5DFD" w14:textId="77777777" w:rsidR="00B101FB" w:rsidRPr="00F3140D" w:rsidRDefault="00B101FB" w:rsidP="00B101FB">
      <w:pPr>
        <w:spacing w:after="0"/>
        <w:jc w:val="both"/>
        <w:rPr>
          <w:rFonts w:ascii="Arial" w:hAnsi="Arial" w:cs="Arial"/>
          <w:b/>
          <w:bCs/>
          <w:sz w:val="28"/>
          <w:szCs w:val="28"/>
        </w:rPr>
      </w:pPr>
    </w:p>
    <w:p w14:paraId="186B596D" w14:textId="305E7558" w:rsidR="00B101FB" w:rsidRDefault="00B101FB" w:rsidP="00B101FB">
      <w:pPr>
        <w:spacing w:after="0"/>
        <w:jc w:val="both"/>
        <w:rPr>
          <w:rFonts w:ascii="Arial" w:hAnsi="Arial" w:cs="Arial"/>
          <w:sz w:val="28"/>
          <w:szCs w:val="28"/>
        </w:rPr>
      </w:pPr>
      <w:r w:rsidRPr="00F3140D">
        <w:rPr>
          <w:rFonts w:ascii="Arial" w:hAnsi="Arial" w:cs="Arial"/>
          <w:b/>
          <w:bCs/>
          <w:sz w:val="28"/>
          <w:szCs w:val="28"/>
        </w:rPr>
        <w:t xml:space="preserve">Projeto de Lei: </w:t>
      </w:r>
      <w:r w:rsidRPr="00F3140D">
        <w:rPr>
          <w:rFonts w:ascii="Arial" w:hAnsi="Arial" w:cs="Arial"/>
          <w:sz w:val="28"/>
          <w:szCs w:val="28"/>
        </w:rPr>
        <w:t>0</w:t>
      </w:r>
      <w:r w:rsidR="002A6F90">
        <w:rPr>
          <w:rFonts w:ascii="Arial" w:hAnsi="Arial" w:cs="Arial"/>
          <w:sz w:val="28"/>
          <w:szCs w:val="28"/>
        </w:rPr>
        <w:t>6</w:t>
      </w:r>
      <w:r w:rsidR="00797F28">
        <w:rPr>
          <w:rFonts w:ascii="Arial" w:hAnsi="Arial" w:cs="Arial"/>
          <w:sz w:val="28"/>
          <w:szCs w:val="28"/>
        </w:rPr>
        <w:t xml:space="preserve"> </w:t>
      </w:r>
      <w:r w:rsidRPr="00F3140D">
        <w:rPr>
          <w:rFonts w:ascii="Arial" w:hAnsi="Arial" w:cs="Arial"/>
          <w:sz w:val="28"/>
          <w:szCs w:val="28"/>
        </w:rPr>
        <w:t xml:space="preserve">de </w:t>
      </w:r>
      <w:r w:rsidR="002A6F90">
        <w:rPr>
          <w:rFonts w:ascii="Arial" w:hAnsi="Arial" w:cs="Arial"/>
          <w:sz w:val="28"/>
          <w:szCs w:val="28"/>
        </w:rPr>
        <w:t>18</w:t>
      </w:r>
      <w:r w:rsidRPr="00F3140D">
        <w:rPr>
          <w:rFonts w:ascii="Arial" w:hAnsi="Arial" w:cs="Arial"/>
          <w:sz w:val="28"/>
          <w:szCs w:val="28"/>
        </w:rPr>
        <w:t xml:space="preserve"> de </w:t>
      </w:r>
      <w:r w:rsidR="00D30CC4">
        <w:rPr>
          <w:rFonts w:ascii="Arial" w:hAnsi="Arial" w:cs="Arial"/>
          <w:sz w:val="28"/>
          <w:szCs w:val="28"/>
        </w:rPr>
        <w:t>março</w:t>
      </w:r>
      <w:r w:rsidRPr="00F3140D">
        <w:rPr>
          <w:rFonts w:ascii="Arial" w:hAnsi="Arial" w:cs="Arial"/>
          <w:sz w:val="28"/>
          <w:szCs w:val="28"/>
        </w:rPr>
        <w:t xml:space="preserve"> de 202</w:t>
      </w:r>
      <w:r w:rsidR="009F6C72">
        <w:rPr>
          <w:rFonts w:ascii="Arial" w:hAnsi="Arial" w:cs="Arial"/>
          <w:sz w:val="28"/>
          <w:szCs w:val="28"/>
        </w:rPr>
        <w:t>6</w:t>
      </w:r>
      <w:r>
        <w:rPr>
          <w:rFonts w:ascii="Arial" w:hAnsi="Arial" w:cs="Arial"/>
          <w:sz w:val="28"/>
          <w:szCs w:val="28"/>
        </w:rPr>
        <w:t xml:space="preserve">       </w:t>
      </w:r>
    </w:p>
    <w:p w14:paraId="69526C02" w14:textId="77777777" w:rsidR="00B101FB" w:rsidRDefault="00B101FB" w:rsidP="00B101FB">
      <w:pPr>
        <w:spacing w:after="0"/>
        <w:jc w:val="both"/>
        <w:rPr>
          <w:rFonts w:ascii="Arial" w:hAnsi="Arial" w:cs="Arial"/>
          <w:sz w:val="28"/>
          <w:szCs w:val="28"/>
        </w:rPr>
      </w:pPr>
    </w:p>
    <w:p w14:paraId="1A067886" w14:textId="082E37AA" w:rsidR="00B101FB" w:rsidRPr="00F3140D" w:rsidRDefault="00B101FB" w:rsidP="00B101FB">
      <w:pPr>
        <w:spacing w:after="0"/>
        <w:jc w:val="both"/>
        <w:rPr>
          <w:rFonts w:ascii="Arial" w:hAnsi="Arial" w:cs="Arial"/>
          <w:sz w:val="28"/>
          <w:szCs w:val="28"/>
        </w:rPr>
      </w:pPr>
      <w:r w:rsidRPr="003C63C5">
        <w:rPr>
          <w:rFonts w:ascii="Arial" w:hAnsi="Arial" w:cs="Arial"/>
          <w:b/>
          <w:bCs/>
          <w:sz w:val="28"/>
          <w:szCs w:val="28"/>
        </w:rPr>
        <w:t>Autor:</w:t>
      </w:r>
      <w:r>
        <w:rPr>
          <w:rFonts w:ascii="Arial" w:hAnsi="Arial" w:cs="Arial"/>
          <w:sz w:val="28"/>
          <w:szCs w:val="28"/>
        </w:rPr>
        <w:t xml:space="preserve"> </w:t>
      </w:r>
      <w:r w:rsidR="00D47DA5">
        <w:rPr>
          <w:rFonts w:ascii="Arial" w:hAnsi="Arial" w:cs="Arial"/>
          <w:sz w:val="28"/>
          <w:szCs w:val="28"/>
        </w:rPr>
        <w:t>Mônica de Souza</w:t>
      </w:r>
    </w:p>
    <w:p w14:paraId="054A6076" w14:textId="77777777" w:rsidR="00B101FB" w:rsidRPr="00F3140D" w:rsidRDefault="00B101FB" w:rsidP="00B101FB">
      <w:pPr>
        <w:spacing w:after="0"/>
        <w:jc w:val="both"/>
        <w:rPr>
          <w:rFonts w:ascii="Arial" w:hAnsi="Arial" w:cs="Arial"/>
          <w:sz w:val="28"/>
          <w:szCs w:val="28"/>
        </w:rPr>
      </w:pPr>
    </w:p>
    <w:p w14:paraId="11632FB0" w14:textId="7C54D855" w:rsidR="00B101FB" w:rsidRDefault="00B101FB" w:rsidP="00B101FB">
      <w:pPr>
        <w:spacing w:after="0"/>
        <w:jc w:val="both"/>
        <w:rPr>
          <w:rFonts w:ascii="Arial" w:hAnsi="Arial" w:cs="Arial"/>
          <w:bCs/>
          <w:sz w:val="28"/>
          <w:szCs w:val="28"/>
        </w:rPr>
      </w:pPr>
      <w:r w:rsidRPr="00F3140D">
        <w:rPr>
          <w:rFonts w:ascii="Arial" w:hAnsi="Arial" w:cs="Arial"/>
          <w:b/>
          <w:bCs/>
          <w:sz w:val="28"/>
          <w:szCs w:val="28"/>
        </w:rPr>
        <w:t>Matéria:</w:t>
      </w:r>
      <w:r w:rsidRPr="00F3140D">
        <w:rPr>
          <w:rFonts w:ascii="Arial" w:hAnsi="Arial" w:cs="Arial"/>
          <w:sz w:val="28"/>
          <w:szCs w:val="28"/>
        </w:rPr>
        <w:t xml:space="preserve"> </w:t>
      </w:r>
      <w:r w:rsidR="002A6F90">
        <w:rPr>
          <w:rFonts w:ascii="Arial" w:hAnsi="Arial" w:cs="Arial"/>
          <w:bCs/>
          <w:sz w:val="28"/>
          <w:szCs w:val="28"/>
        </w:rPr>
        <w:t>Segurança</w:t>
      </w:r>
      <w:r w:rsidR="00D30CC4">
        <w:rPr>
          <w:rFonts w:ascii="Arial" w:hAnsi="Arial" w:cs="Arial"/>
          <w:bCs/>
          <w:sz w:val="28"/>
          <w:szCs w:val="28"/>
        </w:rPr>
        <w:t xml:space="preserve"> Pública</w:t>
      </w:r>
    </w:p>
    <w:p w14:paraId="25293BD8" w14:textId="77777777" w:rsidR="00B101FB" w:rsidRDefault="00B101FB" w:rsidP="00B101FB">
      <w:pPr>
        <w:spacing w:after="0"/>
        <w:jc w:val="both"/>
        <w:rPr>
          <w:rFonts w:ascii="Arial" w:hAnsi="Arial" w:cs="Arial"/>
          <w:bCs/>
          <w:sz w:val="28"/>
          <w:szCs w:val="28"/>
        </w:rPr>
      </w:pPr>
    </w:p>
    <w:p w14:paraId="39E99D31" w14:textId="543D4986" w:rsidR="00B101FB" w:rsidRDefault="00B101FB" w:rsidP="00B101FB">
      <w:pPr>
        <w:spacing w:after="0"/>
        <w:jc w:val="both"/>
        <w:rPr>
          <w:rFonts w:ascii="Arial" w:hAnsi="Arial" w:cs="Arial"/>
          <w:b/>
          <w:bCs/>
          <w:sz w:val="28"/>
          <w:szCs w:val="28"/>
        </w:rPr>
      </w:pPr>
      <w:r w:rsidRPr="00F3140D">
        <w:rPr>
          <w:rFonts w:ascii="Arial" w:hAnsi="Arial" w:cs="Arial"/>
          <w:b/>
          <w:bCs/>
          <w:sz w:val="28"/>
          <w:szCs w:val="28"/>
        </w:rPr>
        <w:t>Relator:</w:t>
      </w:r>
      <w:r w:rsidR="00FD234E">
        <w:rPr>
          <w:rFonts w:ascii="Arial" w:hAnsi="Arial" w:cs="Arial"/>
          <w:b/>
          <w:bCs/>
          <w:sz w:val="28"/>
          <w:szCs w:val="28"/>
        </w:rPr>
        <w:t xml:space="preserve">  </w:t>
      </w:r>
      <w:r w:rsidR="00D47DA5">
        <w:rPr>
          <w:rFonts w:ascii="Arial" w:hAnsi="Arial" w:cs="Arial"/>
          <w:sz w:val="28"/>
          <w:szCs w:val="28"/>
        </w:rPr>
        <w:t>Mônica de Souza</w:t>
      </w:r>
      <w:r w:rsidR="004A7CD2">
        <w:rPr>
          <w:rFonts w:ascii="Arial" w:hAnsi="Arial" w:cs="Arial"/>
          <w:b/>
          <w:bCs/>
          <w:sz w:val="28"/>
          <w:szCs w:val="28"/>
        </w:rPr>
        <w:t xml:space="preserve">      </w:t>
      </w:r>
      <w:r w:rsidR="00FD234E">
        <w:rPr>
          <w:rFonts w:ascii="Arial" w:hAnsi="Arial" w:cs="Arial"/>
          <w:b/>
          <w:bCs/>
          <w:sz w:val="28"/>
          <w:szCs w:val="28"/>
        </w:rPr>
        <w:t xml:space="preserve">                   </w:t>
      </w:r>
      <w:r w:rsidR="00D75421">
        <w:rPr>
          <w:rFonts w:ascii="Arial" w:hAnsi="Arial" w:cs="Arial"/>
          <w:b/>
          <w:bCs/>
          <w:sz w:val="28"/>
          <w:szCs w:val="28"/>
        </w:rPr>
        <w:t xml:space="preserve">  </w:t>
      </w:r>
      <w:r w:rsidR="00FD234E">
        <w:rPr>
          <w:rFonts w:ascii="Arial" w:hAnsi="Arial" w:cs="Arial"/>
          <w:b/>
          <w:bCs/>
          <w:sz w:val="28"/>
          <w:szCs w:val="28"/>
        </w:rPr>
        <w:t>Conclusão</w:t>
      </w:r>
      <w:r w:rsidR="009E780D">
        <w:rPr>
          <w:rFonts w:ascii="Arial" w:hAnsi="Arial" w:cs="Arial"/>
          <w:b/>
          <w:bCs/>
          <w:sz w:val="28"/>
          <w:szCs w:val="28"/>
        </w:rPr>
        <w:t>:</w:t>
      </w:r>
      <w:r w:rsidR="003A6241">
        <w:rPr>
          <w:rFonts w:ascii="Arial" w:hAnsi="Arial" w:cs="Arial"/>
          <w:b/>
          <w:bCs/>
          <w:sz w:val="28"/>
          <w:szCs w:val="28"/>
        </w:rPr>
        <w:t xml:space="preserve"> </w:t>
      </w:r>
      <w:r w:rsidR="00D30CC4">
        <w:rPr>
          <w:rFonts w:ascii="Arial" w:hAnsi="Arial" w:cs="Arial"/>
          <w:sz w:val="28"/>
          <w:szCs w:val="28"/>
        </w:rPr>
        <w:t>Favorável</w:t>
      </w:r>
      <w:r w:rsidR="00923357">
        <w:rPr>
          <w:rFonts w:ascii="Arial" w:hAnsi="Arial" w:cs="Arial"/>
          <w:sz w:val="28"/>
          <w:szCs w:val="28"/>
        </w:rPr>
        <w:tab/>
      </w:r>
    </w:p>
    <w:p w14:paraId="524044D4" w14:textId="77777777" w:rsidR="00B101FB" w:rsidRDefault="00B101FB" w:rsidP="00B101FB">
      <w:pPr>
        <w:spacing w:after="0"/>
        <w:jc w:val="both"/>
        <w:rPr>
          <w:rFonts w:ascii="Arial" w:hAnsi="Arial" w:cs="Arial"/>
          <w:b/>
          <w:bCs/>
          <w:sz w:val="28"/>
          <w:szCs w:val="28"/>
        </w:rPr>
      </w:pPr>
    </w:p>
    <w:p w14:paraId="4B3A8937" w14:textId="7AF34D83" w:rsidR="005603B7" w:rsidRDefault="00B101FB" w:rsidP="00691782">
      <w:pPr>
        <w:spacing w:after="0"/>
        <w:jc w:val="both"/>
        <w:rPr>
          <w:rFonts w:ascii="Arial" w:hAnsi="Arial" w:cs="Arial"/>
          <w:sz w:val="28"/>
          <w:szCs w:val="28"/>
        </w:rPr>
      </w:pPr>
      <w:r>
        <w:rPr>
          <w:rFonts w:ascii="Arial" w:hAnsi="Arial" w:cs="Arial"/>
          <w:b/>
          <w:bCs/>
          <w:sz w:val="28"/>
          <w:szCs w:val="28"/>
        </w:rPr>
        <w:t xml:space="preserve">Ementa: </w:t>
      </w:r>
      <w:r w:rsidR="00080282">
        <w:rPr>
          <w:rFonts w:ascii="Arial" w:hAnsi="Arial" w:cs="Arial"/>
          <w:b/>
          <w:bCs/>
          <w:sz w:val="28"/>
          <w:szCs w:val="28"/>
        </w:rPr>
        <w:t>“</w:t>
      </w:r>
      <w:r w:rsidR="002A6F90" w:rsidRPr="002A6F90">
        <w:rPr>
          <w:rFonts w:ascii="Times New Roman" w:hAnsi="Times New Roman" w:cs="Times New Roman"/>
          <w:i/>
          <w:iCs/>
          <w:sz w:val="28"/>
          <w:szCs w:val="28"/>
        </w:rPr>
        <w:t>Institui a Política Municipal de Prevenção e Enfrentamento ao Feminicídio e à Violência Contra a Mulher no âmbito do Município de Terra de Areia e dá outras providências</w:t>
      </w:r>
      <w:r w:rsidR="00D30CC4" w:rsidRPr="00D30CC4">
        <w:rPr>
          <w:rFonts w:ascii="Times New Roman" w:hAnsi="Times New Roman" w:cs="Times New Roman"/>
          <w:i/>
          <w:iCs/>
          <w:sz w:val="28"/>
          <w:szCs w:val="28"/>
        </w:rPr>
        <w:t>.</w:t>
      </w:r>
      <w:r w:rsidR="00080282" w:rsidRPr="00080282">
        <w:rPr>
          <w:rFonts w:ascii="Times New Roman" w:hAnsi="Times New Roman" w:cs="Times New Roman"/>
          <w:i/>
          <w:iCs/>
          <w:sz w:val="28"/>
          <w:szCs w:val="28"/>
        </w:rPr>
        <w:t>”</w:t>
      </w:r>
    </w:p>
    <w:p w14:paraId="7B7616FC" w14:textId="77777777" w:rsidR="00A70527" w:rsidRDefault="00A70527" w:rsidP="00A0427A">
      <w:pPr>
        <w:rPr>
          <w:rFonts w:ascii="Arial" w:hAnsi="Arial" w:cs="Arial"/>
          <w:b/>
          <w:bCs/>
          <w:sz w:val="32"/>
          <w:szCs w:val="32"/>
        </w:rPr>
      </w:pPr>
    </w:p>
    <w:p w14:paraId="64F51C61" w14:textId="5D2F5253" w:rsidR="00B101FB" w:rsidRDefault="00B101FB" w:rsidP="00B101FB">
      <w:pPr>
        <w:jc w:val="center"/>
        <w:rPr>
          <w:rFonts w:ascii="Arial" w:hAnsi="Arial" w:cs="Arial"/>
          <w:b/>
          <w:bCs/>
          <w:sz w:val="32"/>
          <w:szCs w:val="32"/>
        </w:rPr>
      </w:pPr>
      <w:r w:rsidRPr="003C63C5">
        <w:rPr>
          <w:rFonts w:ascii="Arial" w:hAnsi="Arial" w:cs="Arial"/>
          <w:b/>
          <w:bCs/>
          <w:sz w:val="32"/>
          <w:szCs w:val="32"/>
        </w:rPr>
        <w:t>Relatório</w:t>
      </w:r>
    </w:p>
    <w:p w14:paraId="2A4E94C6" w14:textId="77777777" w:rsidR="00B101FB" w:rsidRDefault="00B101FB" w:rsidP="00B101FB">
      <w:pPr>
        <w:jc w:val="center"/>
        <w:rPr>
          <w:rFonts w:ascii="Arial" w:hAnsi="Arial" w:cs="Arial"/>
          <w:b/>
          <w:bCs/>
          <w:sz w:val="32"/>
          <w:szCs w:val="32"/>
        </w:rPr>
      </w:pPr>
    </w:p>
    <w:p w14:paraId="6DF81744" w14:textId="6B0FD4EC" w:rsidR="00B101FB" w:rsidRPr="00D47DA5" w:rsidRDefault="00D47DA5" w:rsidP="00B101FB">
      <w:pPr>
        <w:spacing w:line="360" w:lineRule="auto"/>
        <w:ind w:firstLine="2268"/>
        <w:jc w:val="both"/>
        <w:rPr>
          <w:rFonts w:ascii="Arial" w:hAnsi="Arial" w:cs="Arial"/>
          <w:sz w:val="28"/>
          <w:szCs w:val="28"/>
        </w:rPr>
      </w:pPr>
      <w:r w:rsidRPr="00D47DA5">
        <w:rPr>
          <w:rFonts w:ascii="Arial" w:hAnsi="Arial" w:cs="Arial"/>
          <w:sz w:val="28"/>
          <w:szCs w:val="28"/>
        </w:rPr>
        <w:t>Trata-se de análise jurídica do Projeto de Lei nº 0</w:t>
      </w:r>
      <w:r w:rsidR="002A6F90">
        <w:rPr>
          <w:rFonts w:ascii="Arial" w:hAnsi="Arial" w:cs="Arial"/>
          <w:sz w:val="28"/>
          <w:szCs w:val="28"/>
        </w:rPr>
        <w:t>6</w:t>
      </w:r>
      <w:r w:rsidRPr="00D47DA5">
        <w:rPr>
          <w:rFonts w:ascii="Arial" w:hAnsi="Arial" w:cs="Arial"/>
          <w:sz w:val="28"/>
          <w:szCs w:val="28"/>
        </w:rPr>
        <w:t xml:space="preserve">/2026, de autoria parlamentar, que institui, no âmbito do Município de Terra de Areia, </w:t>
      </w:r>
      <w:r w:rsidR="002A6F90" w:rsidRPr="002A6F90">
        <w:rPr>
          <w:rFonts w:ascii="Arial" w:hAnsi="Arial" w:cs="Arial"/>
          <w:sz w:val="28"/>
          <w:szCs w:val="28"/>
        </w:rPr>
        <w:t>a Política Municipal de Prevenção e Enfrentamento ao Feminicídio e à Violência Contra a Mulher e dá outras providências.</w:t>
      </w:r>
    </w:p>
    <w:p w14:paraId="304FEC6C" w14:textId="77777777" w:rsidR="00D30CC4" w:rsidRDefault="00D30CC4" w:rsidP="00B101FB">
      <w:pPr>
        <w:jc w:val="center"/>
        <w:rPr>
          <w:rFonts w:ascii="Arial" w:hAnsi="Arial" w:cs="Arial"/>
          <w:b/>
          <w:bCs/>
          <w:sz w:val="32"/>
          <w:szCs w:val="32"/>
        </w:rPr>
      </w:pPr>
    </w:p>
    <w:p w14:paraId="61A17666" w14:textId="2644968A" w:rsidR="00B101FB" w:rsidRDefault="00B101FB" w:rsidP="00B101FB">
      <w:pPr>
        <w:jc w:val="center"/>
        <w:rPr>
          <w:rFonts w:ascii="Arial" w:hAnsi="Arial" w:cs="Arial"/>
          <w:b/>
          <w:bCs/>
          <w:sz w:val="32"/>
          <w:szCs w:val="32"/>
        </w:rPr>
      </w:pPr>
      <w:r w:rsidRPr="003C63C5">
        <w:rPr>
          <w:rFonts w:ascii="Arial" w:hAnsi="Arial" w:cs="Arial"/>
          <w:b/>
          <w:bCs/>
          <w:sz w:val="32"/>
          <w:szCs w:val="32"/>
        </w:rPr>
        <w:t>Parecer</w:t>
      </w:r>
    </w:p>
    <w:p w14:paraId="0B1CF76A" w14:textId="77777777" w:rsidR="00B101FB" w:rsidRDefault="00B101FB" w:rsidP="00B101FB">
      <w:pPr>
        <w:spacing w:after="0"/>
        <w:jc w:val="both"/>
        <w:rPr>
          <w:rFonts w:ascii="Arial" w:hAnsi="Arial" w:cs="Arial"/>
          <w:b/>
          <w:bCs/>
          <w:sz w:val="32"/>
          <w:szCs w:val="32"/>
        </w:rPr>
      </w:pPr>
    </w:p>
    <w:p w14:paraId="60F93103" w14:textId="77777777" w:rsidR="00E81729" w:rsidRDefault="00E81729" w:rsidP="00B101FB">
      <w:pPr>
        <w:spacing w:after="0"/>
        <w:jc w:val="both"/>
        <w:rPr>
          <w:rFonts w:ascii="Arial" w:hAnsi="Arial" w:cs="Arial"/>
          <w:b/>
          <w:bCs/>
          <w:sz w:val="32"/>
          <w:szCs w:val="32"/>
        </w:rPr>
      </w:pPr>
    </w:p>
    <w:p w14:paraId="7F7B5DB4" w14:textId="77777777" w:rsidR="002A6F90" w:rsidRDefault="002A6F90" w:rsidP="002A6F90">
      <w:pPr>
        <w:spacing w:after="0" w:line="360" w:lineRule="auto"/>
        <w:ind w:firstLine="2268"/>
        <w:jc w:val="both"/>
        <w:rPr>
          <w:rFonts w:ascii="Arial" w:hAnsi="Arial" w:cs="Arial"/>
          <w:sz w:val="28"/>
          <w:szCs w:val="28"/>
        </w:rPr>
      </w:pPr>
      <w:r w:rsidRPr="002A6F90">
        <w:rPr>
          <w:rFonts w:ascii="Arial" w:hAnsi="Arial" w:cs="Arial"/>
          <w:sz w:val="28"/>
          <w:szCs w:val="28"/>
        </w:rPr>
        <w:lastRenderedPageBreak/>
        <w:t xml:space="preserve">O Projeto de Lei nº 06/2026, de iniciativa parlamentar, ao instituir a Política Municipal de Prevenção e Enfrentamento ao Feminicídio e à Violência Contra a Mulher, revela-se, sob a ótica constitucional, formalmente compatível com a ordem vigente, na medida em que trata de matéria inserida no âmbito da competência comum dos entes federativos para proteção de direitos fundamentais, especialmente à luz dos </w:t>
      </w:r>
      <w:proofErr w:type="spellStart"/>
      <w:r w:rsidRPr="002A6F90">
        <w:rPr>
          <w:rFonts w:ascii="Arial" w:hAnsi="Arial" w:cs="Arial"/>
          <w:sz w:val="28"/>
          <w:szCs w:val="28"/>
        </w:rPr>
        <w:t>arts</w:t>
      </w:r>
      <w:proofErr w:type="spellEnd"/>
      <w:r w:rsidRPr="002A6F90">
        <w:rPr>
          <w:rFonts w:ascii="Arial" w:hAnsi="Arial" w:cs="Arial"/>
          <w:sz w:val="28"/>
          <w:szCs w:val="28"/>
        </w:rPr>
        <w:t xml:space="preserve">. 23, I e X, e 30, I e II, da Constituição Federal, que autorizam o município a legislar sobre assuntos de interesse local e suplementar a legislação federal e estadual no que couber, notadamente em temas de saúde pública, assistência social e proteção à dignidade da pessoa humana. </w:t>
      </w:r>
    </w:p>
    <w:p w14:paraId="77A82194" w14:textId="77777777" w:rsidR="002A6F90" w:rsidRDefault="002A6F90" w:rsidP="002A6F90">
      <w:pPr>
        <w:spacing w:after="0" w:line="360" w:lineRule="auto"/>
        <w:ind w:firstLine="2268"/>
        <w:jc w:val="both"/>
        <w:rPr>
          <w:rFonts w:ascii="Arial" w:hAnsi="Arial" w:cs="Arial"/>
          <w:sz w:val="28"/>
          <w:szCs w:val="28"/>
        </w:rPr>
      </w:pPr>
    </w:p>
    <w:p w14:paraId="05F27C32" w14:textId="3AC6CCB5" w:rsidR="002A6F90" w:rsidRDefault="002A6F90" w:rsidP="002A6F90">
      <w:pPr>
        <w:spacing w:after="0" w:line="360" w:lineRule="auto"/>
        <w:ind w:firstLine="2268"/>
        <w:jc w:val="both"/>
        <w:rPr>
          <w:rFonts w:ascii="Arial" w:hAnsi="Arial" w:cs="Arial"/>
          <w:sz w:val="28"/>
          <w:szCs w:val="28"/>
        </w:rPr>
      </w:pPr>
      <w:r w:rsidRPr="002A6F90">
        <w:rPr>
          <w:rFonts w:ascii="Arial" w:hAnsi="Arial" w:cs="Arial"/>
          <w:sz w:val="28"/>
          <w:szCs w:val="28"/>
        </w:rPr>
        <w:t>No plano material, a proposta se alinha diretamente aos fundamentos constitucionais da dignidade da pessoa humana (art. 1º, III), aos objetivos da República de promoção do bem de todos sem discriminações (art. 3º, IV) e à proteção especial conferida à família e à mulher (art. 226, §8º), além de dialogar com o sistema normativo já consolidado pela Lei Maria da Penha (Lei nº 11.340/2006) e pela tipificação do feminicídio no Código Penal (art. 121, §2º, VI), atuando em caráter complementar e não conflitante.</w:t>
      </w:r>
    </w:p>
    <w:p w14:paraId="6128E7DF" w14:textId="77777777" w:rsidR="002A6F90" w:rsidRPr="002A6F90" w:rsidRDefault="002A6F90" w:rsidP="002A6F90">
      <w:pPr>
        <w:spacing w:after="0" w:line="360" w:lineRule="auto"/>
        <w:ind w:firstLine="2268"/>
        <w:jc w:val="both"/>
        <w:rPr>
          <w:rFonts w:ascii="Arial" w:hAnsi="Arial" w:cs="Arial"/>
          <w:sz w:val="28"/>
          <w:szCs w:val="28"/>
        </w:rPr>
      </w:pPr>
    </w:p>
    <w:p w14:paraId="1B2261F4" w14:textId="77777777" w:rsidR="008600A4" w:rsidRDefault="002A6F90" w:rsidP="002A6F90">
      <w:pPr>
        <w:spacing w:after="0" w:line="360" w:lineRule="auto"/>
        <w:ind w:firstLine="2268"/>
        <w:jc w:val="both"/>
        <w:rPr>
          <w:rFonts w:ascii="Arial" w:hAnsi="Arial" w:cs="Arial"/>
          <w:sz w:val="28"/>
          <w:szCs w:val="28"/>
        </w:rPr>
      </w:pPr>
      <w:r w:rsidRPr="002A6F90">
        <w:rPr>
          <w:rFonts w:ascii="Arial" w:hAnsi="Arial" w:cs="Arial"/>
          <w:sz w:val="28"/>
          <w:szCs w:val="28"/>
        </w:rPr>
        <w:t xml:space="preserve">Do ponto de vista da iniciativa legislativa, a redação do projeto demonstra cuidado técnico ao conferir natureza programática e autorizativa às medidas previstas, utilizando expressões como “poderá” e condicionando a implementação à conveniência administrativa e à disponibilidade orçamentária, o que </w:t>
      </w:r>
      <w:r w:rsidRPr="002A6F90">
        <w:rPr>
          <w:rFonts w:ascii="Arial" w:hAnsi="Arial" w:cs="Arial"/>
          <w:sz w:val="28"/>
          <w:szCs w:val="28"/>
        </w:rPr>
        <w:lastRenderedPageBreak/>
        <w:t xml:space="preserve">afasta, em regra, vício de iniciativa por invasão da esfera de atribuições do Poder Executivo, conforme reiteradamente decidido pelo Supremo Tribunal Federal ao admitir leis de iniciativa parlamentar que estabeleçam diretrizes de políticas públicas sem impor obrigações administrativas concretas ou criação de estruturas específicas (v.g., entendimento consolidado no sentido de que normas de caráter programático não violam a separação dos poderes). </w:t>
      </w:r>
    </w:p>
    <w:p w14:paraId="5F320963" w14:textId="77777777" w:rsidR="008600A4" w:rsidRDefault="008600A4" w:rsidP="002A6F90">
      <w:pPr>
        <w:spacing w:after="0" w:line="360" w:lineRule="auto"/>
        <w:ind w:firstLine="2268"/>
        <w:jc w:val="both"/>
        <w:rPr>
          <w:rFonts w:ascii="Arial" w:hAnsi="Arial" w:cs="Arial"/>
          <w:sz w:val="28"/>
          <w:szCs w:val="28"/>
        </w:rPr>
      </w:pPr>
    </w:p>
    <w:p w14:paraId="42932EA8" w14:textId="11149F5A" w:rsidR="002A6F90" w:rsidRPr="002A6F90" w:rsidRDefault="002A6F90" w:rsidP="002A6F90">
      <w:pPr>
        <w:spacing w:after="0" w:line="360" w:lineRule="auto"/>
        <w:ind w:firstLine="2268"/>
        <w:jc w:val="both"/>
        <w:rPr>
          <w:rFonts w:ascii="Arial" w:hAnsi="Arial" w:cs="Arial"/>
          <w:sz w:val="28"/>
          <w:szCs w:val="28"/>
        </w:rPr>
      </w:pPr>
      <w:r w:rsidRPr="002A6F90">
        <w:rPr>
          <w:rFonts w:ascii="Arial" w:hAnsi="Arial" w:cs="Arial"/>
          <w:sz w:val="28"/>
          <w:szCs w:val="28"/>
        </w:rPr>
        <w:t>Ainda, o Superior Tribunal de Justiça possui orientação harmônica no sentido de que políticas públicas voltadas à proteção de grupos vulneráveis possuem fundamento constitucional reforçado, especialmente quando voltadas à efetivação de direitos fundamentais e à prevenção de violência.</w:t>
      </w:r>
    </w:p>
    <w:p w14:paraId="76F59B09" w14:textId="77777777" w:rsidR="008600A4" w:rsidRDefault="008600A4" w:rsidP="002A6F90">
      <w:pPr>
        <w:spacing w:after="0" w:line="360" w:lineRule="auto"/>
        <w:ind w:firstLine="2268"/>
        <w:jc w:val="both"/>
        <w:rPr>
          <w:rFonts w:ascii="Arial" w:hAnsi="Arial" w:cs="Arial"/>
          <w:sz w:val="28"/>
          <w:szCs w:val="28"/>
        </w:rPr>
      </w:pPr>
    </w:p>
    <w:p w14:paraId="70DF2F8B" w14:textId="77777777" w:rsidR="008600A4" w:rsidRDefault="002A6F90" w:rsidP="002A6F90">
      <w:pPr>
        <w:spacing w:after="0" w:line="360" w:lineRule="auto"/>
        <w:ind w:firstLine="2268"/>
        <w:jc w:val="both"/>
        <w:rPr>
          <w:rFonts w:ascii="Arial" w:hAnsi="Arial" w:cs="Arial"/>
          <w:sz w:val="28"/>
          <w:szCs w:val="28"/>
        </w:rPr>
      </w:pPr>
      <w:r w:rsidRPr="002A6F90">
        <w:rPr>
          <w:rFonts w:ascii="Arial" w:hAnsi="Arial" w:cs="Arial"/>
          <w:sz w:val="28"/>
          <w:szCs w:val="28"/>
        </w:rPr>
        <w:t xml:space="preserve">Sob a ótica da técnica legislativa, o projeto apresenta adequada sistematização, com definição de objetivos, diretrizes e possíveis instrumentos de execução, mantendo coerência interna e observando, em linhas gerais, os parâmetros da Lei Complementar nº 95/1998, embora se observe pequena redundância formal na repetição do caput do art. 3º, o que não compromete sua validade, mas recomenda ajuste redacional para aperfeiçoamento técnico. </w:t>
      </w:r>
    </w:p>
    <w:p w14:paraId="7242EAE9" w14:textId="77777777" w:rsidR="008600A4" w:rsidRDefault="008600A4" w:rsidP="002A6F90">
      <w:pPr>
        <w:spacing w:after="0" w:line="360" w:lineRule="auto"/>
        <w:ind w:firstLine="2268"/>
        <w:jc w:val="both"/>
        <w:rPr>
          <w:rFonts w:ascii="Arial" w:hAnsi="Arial" w:cs="Arial"/>
          <w:sz w:val="28"/>
          <w:szCs w:val="28"/>
        </w:rPr>
      </w:pPr>
    </w:p>
    <w:p w14:paraId="2371A81E" w14:textId="3D2FEA79" w:rsidR="002A6F90" w:rsidRPr="002A6F90" w:rsidRDefault="002A6F90" w:rsidP="002A6F90">
      <w:pPr>
        <w:spacing w:after="0" w:line="360" w:lineRule="auto"/>
        <w:ind w:firstLine="2268"/>
        <w:jc w:val="both"/>
        <w:rPr>
          <w:rFonts w:ascii="Arial" w:hAnsi="Arial" w:cs="Arial"/>
          <w:sz w:val="28"/>
          <w:szCs w:val="28"/>
        </w:rPr>
      </w:pPr>
      <w:r w:rsidRPr="002A6F90">
        <w:rPr>
          <w:rFonts w:ascii="Arial" w:hAnsi="Arial" w:cs="Arial"/>
          <w:sz w:val="28"/>
          <w:szCs w:val="28"/>
        </w:rPr>
        <w:t xml:space="preserve">A opção por um modelo normativo aberto, com diretrizes e possibilidades de atuação integrada entre políticas públicas, mostra-se adequada à realidade municipal, evitando rigidez </w:t>
      </w:r>
      <w:r w:rsidRPr="002A6F90">
        <w:rPr>
          <w:rFonts w:ascii="Arial" w:hAnsi="Arial" w:cs="Arial"/>
          <w:sz w:val="28"/>
          <w:szCs w:val="28"/>
        </w:rPr>
        <w:lastRenderedPageBreak/>
        <w:t>normativa excessiva e permitindo adaptação conforme as capacidades institucionais locais.</w:t>
      </w:r>
    </w:p>
    <w:p w14:paraId="4BB131C0" w14:textId="77777777" w:rsidR="008600A4" w:rsidRDefault="008600A4" w:rsidP="002A6F90">
      <w:pPr>
        <w:spacing w:after="0" w:line="360" w:lineRule="auto"/>
        <w:ind w:firstLine="2268"/>
        <w:jc w:val="both"/>
        <w:rPr>
          <w:rFonts w:ascii="Arial" w:hAnsi="Arial" w:cs="Arial"/>
          <w:sz w:val="28"/>
          <w:szCs w:val="28"/>
        </w:rPr>
      </w:pPr>
    </w:p>
    <w:p w14:paraId="5A4B4C81" w14:textId="0C3AED60" w:rsidR="002A6F90" w:rsidRPr="002A6F90" w:rsidRDefault="002A6F90" w:rsidP="002A6F90">
      <w:pPr>
        <w:spacing w:after="0" w:line="360" w:lineRule="auto"/>
        <w:ind w:firstLine="2268"/>
        <w:jc w:val="both"/>
        <w:rPr>
          <w:rFonts w:ascii="Arial" w:hAnsi="Arial" w:cs="Arial"/>
          <w:sz w:val="28"/>
          <w:szCs w:val="28"/>
        </w:rPr>
      </w:pPr>
      <w:r w:rsidRPr="002A6F90">
        <w:rPr>
          <w:rFonts w:ascii="Arial" w:hAnsi="Arial" w:cs="Arial"/>
          <w:sz w:val="28"/>
          <w:szCs w:val="28"/>
        </w:rPr>
        <w:t>No campo jurisprudencial, as Cortes Superiores têm consolidado entendimento no sentido da legitimidade de políticas públicas voltadas à proteção da mulher e ao enfrentamento da violência de gênero, reconhecendo tratar-se de dever estatal decorrente de compromissos constitucionais e internacionais assumidos pelo Brasil, inclusive no âmbito de tratados de direitos humanos. O Supremo Tribunal Federal, em diversas oportunidades, reafirmou a constitucionalidade de medidas diferenciadas de proteção à mulher, entendendo que tais ações concretizam o princípio da igualdade material. Além disso, a jurisprudência reconhece a responsabilidade dos entes federativos na implementação de políticas preventivas, não se limitando à atuação repressiva penal.</w:t>
      </w:r>
    </w:p>
    <w:p w14:paraId="72DB6909" w14:textId="77777777" w:rsidR="008600A4" w:rsidRDefault="008600A4" w:rsidP="002A6F90">
      <w:pPr>
        <w:spacing w:after="0" w:line="360" w:lineRule="auto"/>
        <w:ind w:firstLine="2268"/>
        <w:jc w:val="both"/>
        <w:rPr>
          <w:rFonts w:ascii="Arial" w:hAnsi="Arial" w:cs="Arial"/>
          <w:sz w:val="28"/>
          <w:szCs w:val="28"/>
        </w:rPr>
      </w:pPr>
    </w:p>
    <w:p w14:paraId="712E5BC9" w14:textId="77777777" w:rsidR="002A6F90" w:rsidRPr="002A6F90" w:rsidRDefault="002A6F90" w:rsidP="002A6F90">
      <w:pPr>
        <w:spacing w:after="0" w:line="360" w:lineRule="auto"/>
        <w:ind w:firstLine="2268"/>
        <w:jc w:val="both"/>
        <w:rPr>
          <w:rFonts w:ascii="Arial" w:hAnsi="Arial" w:cs="Arial"/>
          <w:sz w:val="28"/>
          <w:szCs w:val="28"/>
        </w:rPr>
      </w:pPr>
      <w:r w:rsidRPr="002A6F90">
        <w:rPr>
          <w:rFonts w:ascii="Arial" w:hAnsi="Arial" w:cs="Arial"/>
          <w:sz w:val="28"/>
          <w:szCs w:val="28"/>
        </w:rPr>
        <w:t>Em síntese, o projeto revela-se constitucional, juridicamente adequado e alinhado à jurisprudência das Cortes Superiores, além de tecnicamente aceitável, com pequenas ressalvas redacionais, apresentando baixo risco de questionamento judicial, sobretudo por seu caráter programático, sua aderência aos direitos fundamentais e sua compatibilidade com o regime fiscal vigente, constituindo instrumento legítimo de fortalecimento da política pública de proteção às mulheres no âmbito municipal.</w:t>
      </w:r>
    </w:p>
    <w:p w14:paraId="5197B5BE" w14:textId="77777777" w:rsidR="00E015A0" w:rsidRDefault="00E015A0" w:rsidP="00D47DA5">
      <w:pPr>
        <w:spacing w:after="0" w:line="360" w:lineRule="auto"/>
        <w:ind w:firstLine="2268"/>
        <w:jc w:val="both"/>
        <w:rPr>
          <w:rFonts w:ascii="Arial" w:hAnsi="Arial" w:cs="Arial"/>
          <w:sz w:val="28"/>
          <w:szCs w:val="28"/>
        </w:rPr>
      </w:pPr>
    </w:p>
    <w:p w14:paraId="35FEEFC7" w14:textId="4AA16B81" w:rsidR="00D47DA5" w:rsidRPr="00D47DA5" w:rsidRDefault="00D47DA5" w:rsidP="00D47DA5">
      <w:pPr>
        <w:spacing w:after="0" w:line="360" w:lineRule="auto"/>
        <w:ind w:firstLine="2268"/>
        <w:jc w:val="both"/>
        <w:rPr>
          <w:rFonts w:ascii="Arial" w:hAnsi="Arial" w:cs="Arial"/>
          <w:sz w:val="28"/>
          <w:szCs w:val="28"/>
        </w:rPr>
      </w:pPr>
      <w:r w:rsidRPr="00D47DA5">
        <w:rPr>
          <w:rFonts w:ascii="Arial" w:hAnsi="Arial" w:cs="Arial"/>
          <w:sz w:val="28"/>
          <w:szCs w:val="28"/>
        </w:rPr>
        <w:lastRenderedPageBreak/>
        <w:t>Assim, opina-se pela viabilidade jurídica da proposição.</w:t>
      </w:r>
    </w:p>
    <w:p w14:paraId="57EC30F6" w14:textId="4F5D9A91" w:rsidR="00843341" w:rsidRPr="00D47DA5" w:rsidRDefault="00843341" w:rsidP="009F6C72">
      <w:pPr>
        <w:spacing w:after="0" w:line="360" w:lineRule="auto"/>
        <w:ind w:firstLine="2268"/>
        <w:jc w:val="both"/>
        <w:rPr>
          <w:rFonts w:ascii="Arial" w:hAnsi="Arial" w:cs="Arial"/>
          <w:sz w:val="28"/>
          <w:szCs w:val="28"/>
        </w:rPr>
      </w:pPr>
    </w:p>
    <w:p w14:paraId="674ABFA6" w14:textId="77777777" w:rsidR="00A30321" w:rsidRPr="00D47DA5" w:rsidRDefault="00A30321" w:rsidP="009F6C72">
      <w:pPr>
        <w:spacing w:after="0" w:line="360" w:lineRule="auto"/>
        <w:ind w:firstLine="2268"/>
        <w:jc w:val="both"/>
        <w:rPr>
          <w:rFonts w:ascii="Arial" w:hAnsi="Arial" w:cs="Arial"/>
          <w:sz w:val="28"/>
          <w:szCs w:val="28"/>
        </w:rPr>
      </w:pPr>
    </w:p>
    <w:p w14:paraId="51DF876F" w14:textId="77777777" w:rsidR="00E015A0" w:rsidRDefault="00E015A0" w:rsidP="009F6C72">
      <w:pPr>
        <w:spacing w:after="0" w:line="360" w:lineRule="auto"/>
        <w:ind w:firstLine="2268"/>
        <w:jc w:val="both"/>
        <w:rPr>
          <w:rFonts w:ascii="Arial" w:hAnsi="Arial" w:cs="Arial"/>
          <w:sz w:val="28"/>
          <w:szCs w:val="28"/>
        </w:rPr>
      </w:pPr>
    </w:p>
    <w:p w14:paraId="3AF3CCFA" w14:textId="77777777" w:rsidR="008600A4" w:rsidRDefault="008600A4" w:rsidP="009F6C72">
      <w:pPr>
        <w:spacing w:after="0" w:line="360" w:lineRule="auto"/>
        <w:ind w:firstLine="2268"/>
        <w:jc w:val="both"/>
        <w:rPr>
          <w:rFonts w:ascii="Arial" w:hAnsi="Arial" w:cs="Arial"/>
          <w:sz w:val="28"/>
          <w:szCs w:val="28"/>
        </w:rPr>
      </w:pPr>
    </w:p>
    <w:p w14:paraId="7054358E" w14:textId="77777777" w:rsidR="008600A4" w:rsidRDefault="008600A4" w:rsidP="009F6C72">
      <w:pPr>
        <w:spacing w:after="0" w:line="360" w:lineRule="auto"/>
        <w:ind w:firstLine="2268"/>
        <w:jc w:val="both"/>
        <w:rPr>
          <w:rFonts w:ascii="Arial" w:hAnsi="Arial" w:cs="Arial"/>
          <w:sz w:val="28"/>
          <w:szCs w:val="28"/>
        </w:rPr>
      </w:pPr>
    </w:p>
    <w:p w14:paraId="721D4518" w14:textId="77777777" w:rsidR="008600A4" w:rsidRDefault="008600A4" w:rsidP="009F6C72">
      <w:pPr>
        <w:spacing w:after="0" w:line="360" w:lineRule="auto"/>
        <w:ind w:firstLine="2268"/>
        <w:jc w:val="both"/>
        <w:rPr>
          <w:rFonts w:ascii="Arial" w:hAnsi="Arial" w:cs="Arial"/>
          <w:sz w:val="28"/>
          <w:szCs w:val="28"/>
        </w:rPr>
      </w:pPr>
    </w:p>
    <w:p w14:paraId="15B3C012" w14:textId="77777777" w:rsidR="008600A4" w:rsidRDefault="008600A4" w:rsidP="009F6C72">
      <w:pPr>
        <w:spacing w:after="0" w:line="360" w:lineRule="auto"/>
        <w:ind w:firstLine="2268"/>
        <w:jc w:val="both"/>
        <w:rPr>
          <w:rFonts w:ascii="Arial" w:hAnsi="Arial" w:cs="Arial"/>
          <w:sz w:val="28"/>
          <w:szCs w:val="28"/>
        </w:rPr>
      </w:pPr>
    </w:p>
    <w:p w14:paraId="3729DEF2" w14:textId="77777777" w:rsidR="008600A4" w:rsidRDefault="008600A4" w:rsidP="009F6C72">
      <w:pPr>
        <w:spacing w:after="0" w:line="360" w:lineRule="auto"/>
        <w:ind w:firstLine="2268"/>
        <w:jc w:val="both"/>
        <w:rPr>
          <w:rFonts w:ascii="Arial" w:hAnsi="Arial" w:cs="Arial"/>
          <w:sz w:val="28"/>
          <w:szCs w:val="28"/>
        </w:rPr>
      </w:pPr>
    </w:p>
    <w:p w14:paraId="200F008E" w14:textId="77777777" w:rsidR="008600A4" w:rsidRDefault="008600A4" w:rsidP="009F6C72">
      <w:pPr>
        <w:spacing w:after="0" w:line="360" w:lineRule="auto"/>
        <w:ind w:firstLine="2268"/>
        <w:jc w:val="both"/>
        <w:rPr>
          <w:rFonts w:ascii="Arial" w:hAnsi="Arial" w:cs="Arial"/>
          <w:sz w:val="28"/>
          <w:szCs w:val="28"/>
        </w:rPr>
      </w:pPr>
    </w:p>
    <w:p w14:paraId="44D453EB" w14:textId="77777777" w:rsidR="008600A4" w:rsidRDefault="008600A4" w:rsidP="009F6C72">
      <w:pPr>
        <w:spacing w:after="0" w:line="360" w:lineRule="auto"/>
        <w:ind w:firstLine="2268"/>
        <w:jc w:val="both"/>
        <w:rPr>
          <w:rFonts w:ascii="Arial" w:hAnsi="Arial" w:cs="Arial"/>
          <w:sz w:val="28"/>
          <w:szCs w:val="28"/>
        </w:rPr>
      </w:pPr>
    </w:p>
    <w:p w14:paraId="56FC0210" w14:textId="77777777" w:rsidR="008600A4" w:rsidRDefault="008600A4" w:rsidP="009F6C72">
      <w:pPr>
        <w:spacing w:after="0" w:line="360" w:lineRule="auto"/>
        <w:ind w:firstLine="2268"/>
        <w:jc w:val="both"/>
        <w:rPr>
          <w:rFonts w:ascii="Arial" w:hAnsi="Arial" w:cs="Arial"/>
          <w:sz w:val="28"/>
          <w:szCs w:val="28"/>
        </w:rPr>
      </w:pPr>
    </w:p>
    <w:p w14:paraId="0E04A371" w14:textId="77777777" w:rsidR="008600A4" w:rsidRDefault="008600A4" w:rsidP="009F6C72">
      <w:pPr>
        <w:spacing w:after="0" w:line="360" w:lineRule="auto"/>
        <w:ind w:firstLine="2268"/>
        <w:jc w:val="both"/>
        <w:rPr>
          <w:rFonts w:ascii="Arial" w:hAnsi="Arial" w:cs="Arial"/>
          <w:sz w:val="28"/>
          <w:szCs w:val="28"/>
        </w:rPr>
      </w:pPr>
    </w:p>
    <w:p w14:paraId="66FA158E" w14:textId="77777777" w:rsidR="008600A4" w:rsidRDefault="008600A4" w:rsidP="009F6C72">
      <w:pPr>
        <w:spacing w:after="0" w:line="360" w:lineRule="auto"/>
        <w:ind w:firstLine="2268"/>
        <w:jc w:val="both"/>
        <w:rPr>
          <w:rFonts w:ascii="Arial" w:hAnsi="Arial" w:cs="Arial"/>
          <w:sz w:val="28"/>
          <w:szCs w:val="28"/>
        </w:rPr>
      </w:pPr>
    </w:p>
    <w:p w14:paraId="3363664C" w14:textId="77777777" w:rsidR="008600A4" w:rsidRDefault="008600A4" w:rsidP="009F6C72">
      <w:pPr>
        <w:spacing w:after="0" w:line="360" w:lineRule="auto"/>
        <w:ind w:firstLine="2268"/>
        <w:jc w:val="both"/>
        <w:rPr>
          <w:rFonts w:ascii="Arial" w:hAnsi="Arial" w:cs="Arial"/>
          <w:sz w:val="28"/>
          <w:szCs w:val="28"/>
        </w:rPr>
      </w:pPr>
    </w:p>
    <w:p w14:paraId="61590C30" w14:textId="77777777" w:rsidR="008600A4" w:rsidRDefault="008600A4" w:rsidP="009F6C72">
      <w:pPr>
        <w:spacing w:after="0" w:line="360" w:lineRule="auto"/>
        <w:ind w:firstLine="2268"/>
        <w:jc w:val="both"/>
        <w:rPr>
          <w:rFonts w:ascii="Arial" w:hAnsi="Arial" w:cs="Arial"/>
          <w:sz w:val="28"/>
          <w:szCs w:val="28"/>
        </w:rPr>
      </w:pPr>
    </w:p>
    <w:p w14:paraId="103A2D41" w14:textId="77777777" w:rsidR="008600A4" w:rsidRDefault="008600A4" w:rsidP="009F6C72">
      <w:pPr>
        <w:spacing w:after="0" w:line="360" w:lineRule="auto"/>
        <w:ind w:firstLine="2268"/>
        <w:jc w:val="both"/>
        <w:rPr>
          <w:rFonts w:ascii="Arial" w:hAnsi="Arial" w:cs="Arial"/>
          <w:sz w:val="28"/>
          <w:szCs w:val="28"/>
        </w:rPr>
      </w:pPr>
    </w:p>
    <w:p w14:paraId="0D78C849" w14:textId="77777777" w:rsidR="008600A4" w:rsidRDefault="008600A4" w:rsidP="009F6C72">
      <w:pPr>
        <w:spacing w:after="0" w:line="360" w:lineRule="auto"/>
        <w:ind w:firstLine="2268"/>
        <w:jc w:val="both"/>
        <w:rPr>
          <w:rFonts w:ascii="Arial" w:hAnsi="Arial" w:cs="Arial"/>
          <w:sz w:val="28"/>
          <w:szCs w:val="28"/>
        </w:rPr>
      </w:pPr>
    </w:p>
    <w:p w14:paraId="6E1634AF" w14:textId="77777777" w:rsidR="008600A4" w:rsidRDefault="008600A4" w:rsidP="009F6C72">
      <w:pPr>
        <w:spacing w:after="0" w:line="360" w:lineRule="auto"/>
        <w:ind w:firstLine="2268"/>
        <w:jc w:val="both"/>
        <w:rPr>
          <w:rFonts w:ascii="Arial" w:hAnsi="Arial" w:cs="Arial"/>
          <w:sz w:val="28"/>
          <w:szCs w:val="28"/>
        </w:rPr>
      </w:pPr>
    </w:p>
    <w:p w14:paraId="67F5CC98" w14:textId="77777777" w:rsidR="008600A4" w:rsidRDefault="008600A4" w:rsidP="009F6C72">
      <w:pPr>
        <w:spacing w:after="0" w:line="360" w:lineRule="auto"/>
        <w:ind w:firstLine="2268"/>
        <w:jc w:val="both"/>
        <w:rPr>
          <w:rFonts w:ascii="Arial" w:hAnsi="Arial" w:cs="Arial"/>
          <w:sz w:val="28"/>
          <w:szCs w:val="28"/>
        </w:rPr>
      </w:pPr>
    </w:p>
    <w:p w14:paraId="0EB040E8" w14:textId="77777777" w:rsidR="008600A4" w:rsidRDefault="008600A4" w:rsidP="009F6C72">
      <w:pPr>
        <w:spacing w:after="0" w:line="360" w:lineRule="auto"/>
        <w:ind w:firstLine="2268"/>
        <w:jc w:val="both"/>
        <w:rPr>
          <w:rFonts w:ascii="Arial" w:hAnsi="Arial" w:cs="Arial"/>
          <w:sz w:val="28"/>
          <w:szCs w:val="28"/>
        </w:rPr>
      </w:pPr>
    </w:p>
    <w:p w14:paraId="6EF0BC6E" w14:textId="77777777" w:rsidR="008600A4" w:rsidRDefault="008600A4" w:rsidP="009F6C72">
      <w:pPr>
        <w:spacing w:after="0" w:line="360" w:lineRule="auto"/>
        <w:ind w:firstLine="2268"/>
        <w:jc w:val="both"/>
        <w:rPr>
          <w:rFonts w:ascii="Arial" w:hAnsi="Arial" w:cs="Arial"/>
          <w:sz w:val="28"/>
          <w:szCs w:val="28"/>
        </w:rPr>
      </w:pPr>
    </w:p>
    <w:p w14:paraId="6D76F6CB" w14:textId="77777777" w:rsidR="008600A4" w:rsidRDefault="008600A4" w:rsidP="009F6C72">
      <w:pPr>
        <w:spacing w:after="0" w:line="360" w:lineRule="auto"/>
        <w:ind w:firstLine="2268"/>
        <w:jc w:val="both"/>
        <w:rPr>
          <w:rFonts w:ascii="Arial" w:hAnsi="Arial" w:cs="Arial"/>
          <w:sz w:val="28"/>
          <w:szCs w:val="28"/>
        </w:rPr>
      </w:pPr>
    </w:p>
    <w:p w14:paraId="3C42DC93" w14:textId="77777777" w:rsidR="008600A4" w:rsidRDefault="008600A4" w:rsidP="009F6C72">
      <w:pPr>
        <w:spacing w:after="0" w:line="360" w:lineRule="auto"/>
        <w:ind w:firstLine="2268"/>
        <w:jc w:val="both"/>
        <w:rPr>
          <w:rFonts w:ascii="Arial" w:hAnsi="Arial" w:cs="Arial"/>
          <w:sz w:val="28"/>
          <w:szCs w:val="28"/>
        </w:rPr>
      </w:pPr>
    </w:p>
    <w:p w14:paraId="72B9D039" w14:textId="77777777" w:rsidR="008600A4" w:rsidRDefault="008600A4" w:rsidP="009F6C72">
      <w:pPr>
        <w:spacing w:after="0" w:line="360" w:lineRule="auto"/>
        <w:ind w:firstLine="2268"/>
        <w:jc w:val="both"/>
        <w:rPr>
          <w:rFonts w:ascii="Arial" w:hAnsi="Arial" w:cs="Arial"/>
          <w:sz w:val="28"/>
          <w:szCs w:val="28"/>
        </w:rPr>
      </w:pPr>
    </w:p>
    <w:p w14:paraId="13BD1362" w14:textId="77777777" w:rsidR="008600A4" w:rsidRPr="00E81729" w:rsidRDefault="008600A4" w:rsidP="009F6C72">
      <w:pPr>
        <w:spacing w:after="0" w:line="360" w:lineRule="auto"/>
        <w:ind w:firstLine="2268"/>
        <w:jc w:val="both"/>
        <w:rPr>
          <w:rFonts w:ascii="Arial" w:hAnsi="Arial" w:cs="Arial"/>
          <w:sz w:val="28"/>
          <w:szCs w:val="28"/>
        </w:rPr>
      </w:pPr>
    </w:p>
    <w:p w14:paraId="3EA9311D" w14:textId="768D524B" w:rsidR="00B101FB" w:rsidRDefault="00B101FB" w:rsidP="00B101FB">
      <w:pPr>
        <w:jc w:val="center"/>
        <w:rPr>
          <w:rFonts w:ascii="Arial" w:hAnsi="Arial" w:cs="Arial"/>
          <w:b/>
          <w:bCs/>
          <w:sz w:val="32"/>
          <w:szCs w:val="32"/>
        </w:rPr>
      </w:pPr>
      <w:r>
        <w:rPr>
          <w:rFonts w:ascii="Arial" w:hAnsi="Arial" w:cs="Arial"/>
          <w:b/>
          <w:bCs/>
          <w:sz w:val="32"/>
          <w:szCs w:val="32"/>
        </w:rPr>
        <w:lastRenderedPageBreak/>
        <w:t>Conclusão do Voto</w:t>
      </w:r>
    </w:p>
    <w:p w14:paraId="7BCDFCF9" w14:textId="77777777" w:rsidR="00B101FB" w:rsidRDefault="00B101FB" w:rsidP="00B101FB">
      <w:pPr>
        <w:jc w:val="center"/>
        <w:rPr>
          <w:rFonts w:ascii="Arial" w:hAnsi="Arial" w:cs="Arial"/>
          <w:b/>
          <w:bCs/>
          <w:sz w:val="32"/>
          <w:szCs w:val="32"/>
        </w:rPr>
      </w:pPr>
    </w:p>
    <w:p w14:paraId="286EDBB0" w14:textId="77777777" w:rsidR="00B101FB" w:rsidRDefault="00B101FB" w:rsidP="00B101FB">
      <w:pPr>
        <w:jc w:val="center"/>
        <w:rPr>
          <w:rFonts w:ascii="Arial" w:hAnsi="Arial" w:cs="Arial"/>
          <w:b/>
          <w:bCs/>
          <w:sz w:val="32"/>
          <w:szCs w:val="32"/>
        </w:rPr>
      </w:pPr>
    </w:p>
    <w:p w14:paraId="3FEEB2E6" w14:textId="7B3486CD" w:rsidR="00B101FB" w:rsidRDefault="00B101FB" w:rsidP="006556E4">
      <w:pPr>
        <w:spacing w:line="360" w:lineRule="auto"/>
        <w:ind w:firstLine="2268"/>
        <w:jc w:val="both"/>
        <w:rPr>
          <w:rFonts w:ascii="Arial" w:hAnsi="Arial" w:cs="Arial"/>
          <w:sz w:val="28"/>
          <w:szCs w:val="28"/>
        </w:rPr>
      </w:pPr>
      <w:r w:rsidRPr="00986B8C">
        <w:rPr>
          <w:rFonts w:ascii="Arial" w:hAnsi="Arial" w:cs="Arial"/>
          <w:sz w:val="28"/>
          <w:szCs w:val="28"/>
        </w:rPr>
        <w:t xml:space="preserve">Diante dos fundamentos retro expostos, esta relatoria, após debate realizado na Comissão, disponibiliza o presente voto </w:t>
      </w:r>
      <w:r w:rsidR="00A30321">
        <w:rPr>
          <w:rFonts w:ascii="Arial" w:hAnsi="Arial" w:cs="Arial"/>
          <w:sz w:val="28"/>
          <w:szCs w:val="28"/>
        </w:rPr>
        <w:t>favorável</w:t>
      </w:r>
      <w:r w:rsidRPr="00986B8C">
        <w:rPr>
          <w:rFonts w:ascii="Arial" w:hAnsi="Arial" w:cs="Arial"/>
          <w:sz w:val="28"/>
          <w:szCs w:val="28"/>
        </w:rPr>
        <w:t xml:space="preserve"> à tramitação da matéria.</w:t>
      </w:r>
    </w:p>
    <w:p w14:paraId="4351F1BA" w14:textId="77777777" w:rsidR="00B101FB" w:rsidRDefault="00B101FB" w:rsidP="006556E4">
      <w:pPr>
        <w:spacing w:line="360" w:lineRule="auto"/>
        <w:ind w:firstLine="2268"/>
        <w:jc w:val="both"/>
        <w:rPr>
          <w:rFonts w:ascii="Arial" w:hAnsi="Arial" w:cs="Arial"/>
          <w:sz w:val="28"/>
          <w:szCs w:val="28"/>
        </w:rPr>
      </w:pPr>
    </w:p>
    <w:p w14:paraId="39B3540C" w14:textId="2F75DC20" w:rsidR="00B101FB" w:rsidRDefault="00B101FB" w:rsidP="006556E4">
      <w:pPr>
        <w:spacing w:line="360" w:lineRule="auto"/>
        <w:ind w:firstLine="2268"/>
        <w:jc w:val="both"/>
        <w:rPr>
          <w:rFonts w:ascii="Arial" w:hAnsi="Arial" w:cs="Arial"/>
          <w:sz w:val="28"/>
          <w:szCs w:val="28"/>
        </w:rPr>
      </w:pPr>
      <w:r>
        <w:rPr>
          <w:rFonts w:ascii="Arial" w:hAnsi="Arial" w:cs="Arial"/>
          <w:sz w:val="28"/>
          <w:szCs w:val="28"/>
        </w:rPr>
        <w:t xml:space="preserve">Sala das Comissões, </w:t>
      </w:r>
      <w:r w:rsidR="008600A4">
        <w:rPr>
          <w:rFonts w:ascii="Arial" w:hAnsi="Arial" w:cs="Arial"/>
          <w:sz w:val="28"/>
          <w:szCs w:val="28"/>
        </w:rPr>
        <w:t>30</w:t>
      </w:r>
      <w:r>
        <w:rPr>
          <w:rFonts w:ascii="Arial" w:hAnsi="Arial" w:cs="Arial"/>
          <w:sz w:val="28"/>
          <w:szCs w:val="28"/>
        </w:rPr>
        <w:t xml:space="preserve"> de </w:t>
      </w:r>
      <w:r w:rsidR="00A30321">
        <w:rPr>
          <w:rFonts w:ascii="Arial" w:hAnsi="Arial" w:cs="Arial"/>
          <w:sz w:val="28"/>
          <w:szCs w:val="28"/>
        </w:rPr>
        <w:t>março</w:t>
      </w:r>
      <w:r>
        <w:rPr>
          <w:rFonts w:ascii="Arial" w:hAnsi="Arial" w:cs="Arial"/>
          <w:sz w:val="28"/>
          <w:szCs w:val="28"/>
        </w:rPr>
        <w:t xml:space="preserve"> de 202</w:t>
      </w:r>
      <w:r w:rsidR="009F6C72">
        <w:rPr>
          <w:rFonts w:ascii="Arial" w:hAnsi="Arial" w:cs="Arial"/>
          <w:sz w:val="28"/>
          <w:szCs w:val="28"/>
        </w:rPr>
        <w:t>6</w:t>
      </w:r>
      <w:r>
        <w:rPr>
          <w:rFonts w:ascii="Arial" w:hAnsi="Arial" w:cs="Arial"/>
          <w:sz w:val="28"/>
          <w:szCs w:val="28"/>
        </w:rPr>
        <w:t>.</w:t>
      </w:r>
    </w:p>
    <w:p w14:paraId="2FAC2448" w14:textId="77777777" w:rsidR="00B101FB" w:rsidRDefault="00B101FB" w:rsidP="00B101FB">
      <w:pPr>
        <w:ind w:firstLine="2268"/>
        <w:jc w:val="both"/>
        <w:rPr>
          <w:rFonts w:ascii="Arial" w:hAnsi="Arial" w:cs="Arial"/>
          <w:sz w:val="28"/>
          <w:szCs w:val="28"/>
        </w:rPr>
      </w:pPr>
    </w:p>
    <w:p w14:paraId="79F8A26A" w14:textId="77777777" w:rsidR="00B101FB" w:rsidRDefault="00B101FB" w:rsidP="00B101FB">
      <w:pPr>
        <w:ind w:firstLine="2268"/>
        <w:jc w:val="both"/>
        <w:rPr>
          <w:rFonts w:ascii="Arial" w:hAnsi="Arial" w:cs="Arial"/>
          <w:sz w:val="28"/>
          <w:szCs w:val="28"/>
        </w:rPr>
      </w:pPr>
    </w:p>
    <w:p w14:paraId="527BA88E" w14:textId="77777777" w:rsidR="00B101FB" w:rsidRDefault="00B101FB" w:rsidP="00B101FB">
      <w:pPr>
        <w:jc w:val="center"/>
        <w:rPr>
          <w:rFonts w:ascii="Arial" w:hAnsi="Arial" w:cs="Arial"/>
          <w:sz w:val="28"/>
          <w:szCs w:val="28"/>
        </w:rPr>
      </w:pPr>
      <w:r>
        <w:rPr>
          <w:rFonts w:ascii="Arial" w:hAnsi="Arial" w:cs="Arial"/>
          <w:sz w:val="28"/>
          <w:szCs w:val="28"/>
        </w:rPr>
        <w:t>Vereador Presidente</w:t>
      </w:r>
    </w:p>
    <w:p w14:paraId="6CFE26BA" w14:textId="77777777" w:rsidR="00B101FB" w:rsidRDefault="00B101FB" w:rsidP="00B101FB">
      <w:pPr>
        <w:jc w:val="center"/>
        <w:rPr>
          <w:rFonts w:ascii="Arial" w:hAnsi="Arial" w:cs="Arial"/>
          <w:sz w:val="28"/>
          <w:szCs w:val="28"/>
        </w:rPr>
      </w:pPr>
    </w:p>
    <w:p w14:paraId="6D2090EC" w14:textId="77777777" w:rsidR="00B101FB" w:rsidRDefault="00B101FB" w:rsidP="00B101FB">
      <w:pPr>
        <w:jc w:val="center"/>
        <w:rPr>
          <w:rFonts w:ascii="Arial" w:hAnsi="Arial" w:cs="Arial"/>
          <w:sz w:val="28"/>
          <w:szCs w:val="28"/>
        </w:rPr>
      </w:pPr>
    </w:p>
    <w:p w14:paraId="1564A88B" w14:textId="77777777" w:rsidR="00B101FB" w:rsidRDefault="00B101FB" w:rsidP="00B101FB">
      <w:pPr>
        <w:jc w:val="center"/>
        <w:rPr>
          <w:rFonts w:ascii="Arial" w:hAnsi="Arial" w:cs="Arial"/>
          <w:sz w:val="28"/>
          <w:szCs w:val="28"/>
        </w:rPr>
      </w:pPr>
      <w:r>
        <w:rPr>
          <w:rFonts w:ascii="Arial" w:hAnsi="Arial" w:cs="Arial"/>
          <w:sz w:val="28"/>
          <w:szCs w:val="28"/>
        </w:rPr>
        <w:t>Vereador Relator</w:t>
      </w:r>
    </w:p>
    <w:p w14:paraId="51A2AB3F" w14:textId="77777777" w:rsidR="00B101FB" w:rsidRDefault="00B101FB" w:rsidP="00B101FB">
      <w:pPr>
        <w:ind w:firstLine="2268"/>
        <w:jc w:val="both"/>
        <w:rPr>
          <w:rFonts w:ascii="Arial" w:hAnsi="Arial" w:cs="Arial"/>
          <w:sz w:val="28"/>
          <w:szCs w:val="28"/>
        </w:rPr>
      </w:pPr>
    </w:p>
    <w:p w14:paraId="6890660D" w14:textId="77777777" w:rsidR="00B101FB" w:rsidRDefault="00B101FB" w:rsidP="00B101FB">
      <w:pPr>
        <w:ind w:firstLine="2268"/>
        <w:jc w:val="both"/>
        <w:rPr>
          <w:rFonts w:ascii="Arial" w:hAnsi="Arial" w:cs="Arial"/>
          <w:sz w:val="28"/>
          <w:szCs w:val="28"/>
        </w:rPr>
      </w:pPr>
    </w:p>
    <w:p w14:paraId="06A7FC95" w14:textId="4B101DD7" w:rsidR="00B101FB" w:rsidRDefault="00E81729" w:rsidP="00B101FB">
      <w:pPr>
        <w:rPr>
          <w:rFonts w:ascii="Arial" w:hAnsi="Arial" w:cs="Arial"/>
          <w:sz w:val="28"/>
          <w:szCs w:val="28"/>
        </w:rPr>
      </w:pPr>
      <w:r>
        <w:rPr>
          <w:rFonts w:ascii="Arial" w:hAnsi="Arial" w:cs="Arial"/>
          <w:sz w:val="28"/>
          <w:szCs w:val="28"/>
        </w:rPr>
        <w:t>A favor</w:t>
      </w:r>
      <w:r w:rsidR="00B101FB">
        <w:rPr>
          <w:rFonts w:ascii="Arial" w:hAnsi="Arial" w:cs="Arial"/>
          <w:sz w:val="28"/>
          <w:szCs w:val="28"/>
        </w:rPr>
        <w:t>:</w:t>
      </w:r>
    </w:p>
    <w:p w14:paraId="0DD475BC" w14:textId="77777777" w:rsidR="00182DA3" w:rsidRDefault="00182DA3" w:rsidP="00B101FB">
      <w:pPr>
        <w:jc w:val="both"/>
        <w:rPr>
          <w:rFonts w:ascii="Arial" w:hAnsi="Arial" w:cs="Arial"/>
          <w:sz w:val="28"/>
          <w:szCs w:val="28"/>
        </w:rPr>
      </w:pPr>
    </w:p>
    <w:p w14:paraId="65F89E9F" w14:textId="77777777" w:rsidR="006919A2" w:rsidRDefault="006919A2" w:rsidP="00B101FB">
      <w:pPr>
        <w:jc w:val="both"/>
        <w:rPr>
          <w:rFonts w:ascii="Arial" w:hAnsi="Arial" w:cs="Arial"/>
          <w:sz w:val="28"/>
          <w:szCs w:val="28"/>
        </w:rPr>
      </w:pPr>
    </w:p>
    <w:p w14:paraId="41C47D21" w14:textId="1F2916CD" w:rsidR="00C02D3D" w:rsidRPr="006556E4" w:rsidRDefault="00E81729" w:rsidP="006556E4">
      <w:pPr>
        <w:jc w:val="both"/>
        <w:rPr>
          <w:rFonts w:ascii="Arial" w:hAnsi="Arial" w:cs="Arial"/>
          <w:sz w:val="28"/>
          <w:szCs w:val="28"/>
        </w:rPr>
      </w:pPr>
      <w:r>
        <w:rPr>
          <w:rFonts w:ascii="Arial" w:hAnsi="Arial" w:cs="Arial"/>
          <w:sz w:val="28"/>
          <w:szCs w:val="28"/>
        </w:rPr>
        <w:t xml:space="preserve">Contra: </w:t>
      </w:r>
    </w:p>
    <w:sectPr w:rsidR="00C02D3D" w:rsidRPr="006556E4" w:rsidSect="00A70527">
      <w:headerReference w:type="default" r:id="rId6"/>
      <w:pgSz w:w="11906" w:h="16838"/>
      <w:pgMar w:top="1417" w:right="1701" w:bottom="1417" w:left="1701" w:header="0"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EE7E7E" w14:textId="77777777" w:rsidR="00E0472D" w:rsidRDefault="00E0472D" w:rsidP="002A69D2">
      <w:pPr>
        <w:spacing w:after="0" w:line="240" w:lineRule="auto"/>
      </w:pPr>
      <w:r>
        <w:separator/>
      </w:r>
    </w:p>
  </w:endnote>
  <w:endnote w:type="continuationSeparator" w:id="0">
    <w:p w14:paraId="64671BBA" w14:textId="77777777" w:rsidR="00E0472D" w:rsidRDefault="00E0472D" w:rsidP="002A6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4C2C12" w14:textId="77777777" w:rsidR="00E0472D" w:rsidRDefault="00E0472D" w:rsidP="002A69D2">
      <w:pPr>
        <w:spacing w:after="0" w:line="240" w:lineRule="auto"/>
      </w:pPr>
      <w:r>
        <w:separator/>
      </w:r>
    </w:p>
  </w:footnote>
  <w:footnote w:type="continuationSeparator" w:id="0">
    <w:p w14:paraId="13FF0C7C" w14:textId="77777777" w:rsidR="00E0472D" w:rsidRDefault="00E0472D" w:rsidP="002A6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FC810" w14:textId="77777777" w:rsidR="002A69D2" w:rsidRPr="002A69D2" w:rsidRDefault="002A69D2" w:rsidP="002A69D2">
    <w:pPr>
      <w:spacing w:after="0" w:line="240" w:lineRule="auto"/>
      <w:jc w:val="center"/>
      <w:rPr>
        <w:rFonts w:ascii="Arial" w:hAnsi="Arial" w:cs="Arial"/>
        <w:b/>
        <w:sz w:val="20"/>
        <w:szCs w:val="20"/>
      </w:rPr>
    </w:pPr>
    <w:r w:rsidRPr="002A69D2">
      <w:rPr>
        <w:i/>
        <w:noProof/>
        <w:sz w:val="20"/>
        <w:szCs w:val="20"/>
        <w:u w:val="single"/>
        <w:lang w:eastAsia="pt-BR"/>
      </w:rPr>
      <w:drawing>
        <wp:anchor distT="0" distB="0" distL="114300" distR="114300" simplePos="0" relativeHeight="251659264" behindDoc="0" locked="0" layoutInCell="1" allowOverlap="1" wp14:anchorId="4EBA58BD" wp14:editId="5DEB19C8">
          <wp:simplePos x="0" y="0"/>
          <wp:positionH relativeFrom="column">
            <wp:posOffset>2352675</wp:posOffset>
          </wp:positionH>
          <wp:positionV relativeFrom="paragraph">
            <wp:posOffset>78740</wp:posOffset>
          </wp:positionV>
          <wp:extent cx="731520" cy="982980"/>
          <wp:effectExtent l="0" t="0" r="0" b="7620"/>
          <wp:wrapTopAndBottom/>
          <wp:docPr id="114395852" name="Imagem 114395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sidRPr="002A69D2">
      <w:rPr>
        <w:rFonts w:ascii="Arial" w:hAnsi="Arial" w:cs="Arial"/>
        <w:b/>
        <w:sz w:val="20"/>
        <w:szCs w:val="20"/>
      </w:rPr>
      <w:t>CÂMARA MUNICIPAL DE TERRA DE AREIA</w:t>
    </w:r>
  </w:p>
  <w:p w14:paraId="2A2B0061" w14:textId="77777777" w:rsidR="002A69D2" w:rsidRPr="002A69D2" w:rsidRDefault="002A69D2" w:rsidP="002A69D2">
    <w:pPr>
      <w:spacing w:after="0" w:line="240" w:lineRule="auto"/>
      <w:jc w:val="center"/>
      <w:rPr>
        <w:rFonts w:ascii="Arial" w:hAnsi="Arial" w:cs="Arial"/>
        <w:b/>
        <w:sz w:val="20"/>
        <w:szCs w:val="20"/>
      </w:rPr>
    </w:pPr>
    <w:r w:rsidRPr="002A69D2">
      <w:rPr>
        <w:rFonts w:ascii="Arial" w:hAnsi="Arial" w:cs="Arial"/>
        <w:b/>
        <w:sz w:val="20"/>
        <w:szCs w:val="20"/>
      </w:rPr>
      <w:t>ESTADO DO RIO GRANDE DO SUL</w:t>
    </w:r>
  </w:p>
  <w:p w14:paraId="26039785" w14:textId="77777777" w:rsidR="002A69D2" w:rsidRDefault="002A69D2">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D2"/>
    <w:rsid w:val="00017896"/>
    <w:rsid w:val="000238E9"/>
    <w:rsid w:val="00055712"/>
    <w:rsid w:val="00066726"/>
    <w:rsid w:val="00070D8A"/>
    <w:rsid w:val="00080282"/>
    <w:rsid w:val="000B62EA"/>
    <w:rsid w:val="000D714D"/>
    <w:rsid w:val="000E11B9"/>
    <w:rsid w:val="000E281B"/>
    <w:rsid w:val="000F57A0"/>
    <w:rsid w:val="00182DA3"/>
    <w:rsid w:val="001A0910"/>
    <w:rsid w:val="001B2281"/>
    <w:rsid w:val="001C416D"/>
    <w:rsid w:val="001E5627"/>
    <w:rsid w:val="0020527C"/>
    <w:rsid w:val="00280D3B"/>
    <w:rsid w:val="002953FE"/>
    <w:rsid w:val="002A69D2"/>
    <w:rsid w:val="002A6F90"/>
    <w:rsid w:val="002C05C2"/>
    <w:rsid w:val="002D5E68"/>
    <w:rsid w:val="00302093"/>
    <w:rsid w:val="00341739"/>
    <w:rsid w:val="00376D7E"/>
    <w:rsid w:val="003A6241"/>
    <w:rsid w:val="003B664C"/>
    <w:rsid w:val="003E0570"/>
    <w:rsid w:val="00402D03"/>
    <w:rsid w:val="0044120A"/>
    <w:rsid w:val="004539A1"/>
    <w:rsid w:val="004811D4"/>
    <w:rsid w:val="004A30FB"/>
    <w:rsid w:val="004A7CD2"/>
    <w:rsid w:val="004E7DE3"/>
    <w:rsid w:val="0050690D"/>
    <w:rsid w:val="00520949"/>
    <w:rsid w:val="005359D8"/>
    <w:rsid w:val="005603B7"/>
    <w:rsid w:val="00580FE8"/>
    <w:rsid w:val="0059500F"/>
    <w:rsid w:val="005F027A"/>
    <w:rsid w:val="006556E4"/>
    <w:rsid w:val="006856A7"/>
    <w:rsid w:val="00691782"/>
    <w:rsid w:val="006919A2"/>
    <w:rsid w:val="006B2BE0"/>
    <w:rsid w:val="006C31B9"/>
    <w:rsid w:val="006C777F"/>
    <w:rsid w:val="006D07B2"/>
    <w:rsid w:val="007803EE"/>
    <w:rsid w:val="00797F28"/>
    <w:rsid w:val="007A349A"/>
    <w:rsid w:val="007C6483"/>
    <w:rsid w:val="007D6BBB"/>
    <w:rsid w:val="008229EB"/>
    <w:rsid w:val="00843341"/>
    <w:rsid w:val="008600A4"/>
    <w:rsid w:val="00923357"/>
    <w:rsid w:val="00983997"/>
    <w:rsid w:val="009E780D"/>
    <w:rsid w:val="009F6C72"/>
    <w:rsid w:val="00A0427A"/>
    <w:rsid w:val="00A30321"/>
    <w:rsid w:val="00A34C9D"/>
    <w:rsid w:val="00A70527"/>
    <w:rsid w:val="00A85F37"/>
    <w:rsid w:val="00AB3B2D"/>
    <w:rsid w:val="00B101FB"/>
    <w:rsid w:val="00B2137D"/>
    <w:rsid w:val="00B327F8"/>
    <w:rsid w:val="00B6236F"/>
    <w:rsid w:val="00B6651A"/>
    <w:rsid w:val="00BA1F31"/>
    <w:rsid w:val="00BB3E7C"/>
    <w:rsid w:val="00BD2ECE"/>
    <w:rsid w:val="00BE3024"/>
    <w:rsid w:val="00C02D3D"/>
    <w:rsid w:val="00C30623"/>
    <w:rsid w:val="00C365BD"/>
    <w:rsid w:val="00C51C1F"/>
    <w:rsid w:val="00CC3D2D"/>
    <w:rsid w:val="00CE08A5"/>
    <w:rsid w:val="00D16F8D"/>
    <w:rsid w:val="00D30CC4"/>
    <w:rsid w:val="00D41F94"/>
    <w:rsid w:val="00D47DA5"/>
    <w:rsid w:val="00D64112"/>
    <w:rsid w:val="00D75421"/>
    <w:rsid w:val="00DA51AB"/>
    <w:rsid w:val="00E00FD2"/>
    <w:rsid w:val="00E015A0"/>
    <w:rsid w:val="00E01FB2"/>
    <w:rsid w:val="00E0472D"/>
    <w:rsid w:val="00E108F4"/>
    <w:rsid w:val="00E81729"/>
    <w:rsid w:val="00EC145E"/>
    <w:rsid w:val="00ED6825"/>
    <w:rsid w:val="00F17ACE"/>
    <w:rsid w:val="00F24559"/>
    <w:rsid w:val="00F30441"/>
    <w:rsid w:val="00F31D46"/>
    <w:rsid w:val="00F63300"/>
    <w:rsid w:val="00F9336E"/>
    <w:rsid w:val="00FC2C0E"/>
    <w:rsid w:val="00FD1B7E"/>
    <w:rsid w:val="00FD234E"/>
    <w:rsid w:val="00FD748E"/>
    <w:rsid w:val="00FE59C5"/>
    <w:rsid w:val="00FF6F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E1F27"/>
  <w15:chartTrackingRefBased/>
  <w15:docId w15:val="{B37E96BA-1A10-4B9D-A5AA-F1ECC1EBD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9D2"/>
    <w:pPr>
      <w:spacing w:after="200" w:line="276" w:lineRule="auto"/>
    </w:pPr>
    <w:rPr>
      <w:kern w:val="0"/>
      <w14:ligatures w14:val="none"/>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A69D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A69D2"/>
    <w:rPr>
      <w:kern w:val="0"/>
      <w14:ligatures w14:val="none"/>
    </w:rPr>
  </w:style>
  <w:style w:type="paragraph" w:styleId="Rodap">
    <w:name w:val="footer"/>
    <w:basedOn w:val="Normal"/>
    <w:link w:val="RodapChar"/>
    <w:uiPriority w:val="99"/>
    <w:unhideWhenUsed/>
    <w:rsid w:val="002A69D2"/>
    <w:pPr>
      <w:tabs>
        <w:tab w:val="center" w:pos="4252"/>
        <w:tab w:val="right" w:pos="8504"/>
      </w:tabs>
      <w:spacing w:after="0" w:line="240" w:lineRule="auto"/>
    </w:pPr>
  </w:style>
  <w:style w:type="character" w:customStyle="1" w:styleId="RodapChar">
    <w:name w:val="Rodapé Char"/>
    <w:basedOn w:val="Fontepargpadro"/>
    <w:link w:val="Rodap"/>
    <w:uiPriority w:val="99"/>
    <w:rsid w:val="002A69D2"/>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762</Words>
  <Characters>4517</Characters>
  <Application>Microsoft Office Word</Application>
  <DocSecurity>0</DocSecurity>
  <Lines>141</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Rodrigo Pelisoli Maiato</cp:lastModifiedBy>
  <cp:revision>2</cp:revision>
  <cp:lastPrinted>2025-03-17T19:45:00Z</cp:lastPrinted>
  <dcterms:created xsi:type="dcterms:W3CDTF">2026-03-30T13:35:00Z</dcterms:created>
  <dcterms:modified xsi:type="dcterms:W3CDTF">2026-03-30T13:35:00Z</dcterms:modified>
</cp:coreProperties>
</file>