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389EF2DC"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38278B">
        <w:rPr>
          <w:rFonts w:ascii="Arial" w:hAnsi="Arial" w:cs="Arial"/>
          <w:b/>
          <w:bCs/>
          <w:sz w:val="32"/>
          <w:szCs w:val="32"/>
        </w:rPr>
        <w:t>ORÇAMENTO E FINANÇAS</w:t>
      </w:r>
      <w:r w:rsidRPr="00F3140D">
        <w:rPr>
          <w:rFonts w:ascii="Arial" w:hAnsi="Arial" w:cs="Arial"/>
          <w:b/>
          <w:bCs/>
          <w:sz w:val="32"/>
          <w:szCs w:val="32"/>
        </w:rPr>
        <w:t xml:space="preserve"> (C</w:t>
      </w:r>
      <w:r w:rsidR="0038278B">
        <w:rPr>
          <w:rFonts w:ascii="Arial" w:hAnsi="Arial" w:cs="Arial"/>
          <w:b/>
          <w:bCs/>
          <w:sz w:val="32"/>
          <w:szCs w:val="32"/>
        </w:rPr>
        <w:t>OF</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5725CAF2"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00253702">
        <w:rPr>
          <w:rFonts w:ascii="Arial" w:hAnsi="Arial" w:cs="Arial"/>
          <w:sz w:val="28"/>
          <w:szCs w:val="28"/>
        </w:rPr>
        <w:t>73</w:t>
      </w:r>
      <w:r w:rsidRPr="00F3140D">
        <w:rPr>
          <w:rFonts w:ascii="Arial" w:hAnsi="Arial" w:cs="Arial"/>
          <w:sz w:val="28"/>
          <w:szCs w:val="28"/>
        </w:rPr>
        <w:t>/2025</w:t>
      </w:r>
      <w:r w:rsidR="00797B07">
        <w:rPr>
          <w:rFonts w:ascii="Arial" w:hAnsi="Arial" w:cs="Arial"/>
          <w:sz w:val="28"/>
          <w:szCs w:val="28"/>
        </w:rPr>
        <w:t>.</w:t>
      </w:r>
    </w:p>
    <w:p w14:paraId="05DD5DFD" w14:textId="77777777" w:rsidR="00B101FB" w:rsidRPr="00F3140D" w:rsidRDefault="00B101FB" w:rsidP="00B101FB">
      <w:pPr>
        <w:spacing w:after="0"/>
        <w:jc w:val="both"/>
        <w:rPr>
          <w:rFonts w:ascii="Arial" w:hAnsi="Arial" w:cs="Arial"/>
          <w:b/>
          <w:bCs/>
          <w:sz w:val="28"/>
          <w:szCs w:val="28"/>
        </w:rPr>
      </w:pPr>
    </w:p>
    <w:p w14:paraId="186B596D" w14:textId="486D1074"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00253702">
        <w:rPr>
          <w:rFonts w:ascii="Arial" w:hAnsi="Arial" w:cs="Arial"/>
          <w:sz w:val="28"/>
          <w:szCs w:val="28"/>
        </w:rPr>
        <w:t>67</w:t>
      </w:r>
      <w:r w:rsidR="00797F28">
        <w:rPr>
          <w:rFonts w:ascii="Arial" w:hAnsi="Arial" w:cs="Arial"/>
          <w:sz w:val="28"/>
          <w:szCs w:val="28"/>
        </w:rPr>
        <w:t xml:space="preserve"> </w:t>
      </w:r>
      <w:r w:rsidRPr="00F3140D">
        <w:rPr>
          <w:rFonts w:ascii="Arial" w:hAnsi="Arial" w:cs="Arial"/>
          <w:sz w:val="28"/>
          <w:szCs w:val="28"/>
        </w:rPr>
        <w:t xml:space="preserve">de </w:t>
      </w:r>
      <w:r w:rsidR="00253702">
        <w:rPr>
          <w:rFonts w:ascii="Arial" w:hAnsi="Arial" w:cs="Arial"/>
          <w:sz w:val="28"/>
          <w:szCs w:val="28"/>
        </w:rPr>
        <w:t>14</w:t>
      </w:r>
      <w:r w:rsidRPr="00F3140D">
        <w:rPr>
          <w:rFonts w:ascii="Arial" w:hAnsi="Arial" w:cs="Arial"/>
          <w:sz w:val="28"/>
          <w:szCs w:val="28"/>
        </w:rPr>
        <w:t xml:space="preserve"> de </w:t>
      </w:r>
      <w:r w:rsidR="00253702">
        <w:rPr>
          <w:rFonts w:ascii="Arial" w:hAnsi="Arial" w:cs="Arial"/>
          <w:sz w:val="28"/>
          <w:szCs w:val="28"/>
        </w:rPr>
        <w:t>novembro</w:t>
      </w:r>
      <w:r w:rsidRPr="00F3140D">
        <w:rPr>
          <w:rFonts w:ascii="Arial" w:hAnsi="Arial" w:cs="Arial"/>
          <w:sz w:val="28"/>
          <w:szCs w:val="28"/>
        </w:rPr>
        <w:t xml:space="preserve"> de 2025</w:t>
      </w:r>
      <w:r w:rsidR="00797B07">
        <w:rPr>
          <w:rFonts w:ascii="Arial" w:hAnsi="Arial" w:cs="Arial"/>
          <w:sz w:val="28"/>
          <w:szCs w:val="28"/>
        </w:rPr>
        <w:t>.</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6954E151"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Executivo Municipal</w:t>
      </w:r>
      <w:r w:rsidR="00797B07">
        <w:rPr>
          <w:rFonts w:ascii="Arial" w:hAnsi="Arial" w:cs="Arial"/>
          <w:sz w:val="28"/>
          <w:szCs w:val="28"/>
        </w:rPr>
        <w:t>.</w:t>
      </w:r>
    </w:p>
    <w:p w14:paraId="054A6076" w14:textId="77777777" w:rsidR="00B101FB" w:rsidRPr="00F3140D" w:rsidRDefault="00B101FB" w:rsidP="00B101FB">
      <w:pPr>
        <w:spacing w:after="0"/>
        <w:jc w:val="both"/>
        <w:rPr>
          <w:rFonts w:ascii="Arial" w:hAnsi="Arial" w:cs="Arial"/>
          <w:sz w:val="28"/>
          <w:szCs w:val="28"/>
        </w:rPr>
      </w:pPr>
    </w:p>
    <w:p w14:paraId="502510ED" w14:textId="50F5529C" w:rsidR="004C232D" w:rsidRPr="0064105C" w:rsidRDefault="00B101FB" w:rsidP="00B101FB">
      <w:pPr>
        <w:spacing w:after="0"/>
        <w:jc w:val="both"/>
        <w:rPr>
          <w:rFonts w:ascii="Arial" w:hAnsi="Arial" w:cs="Arial"/>
          <w:b/>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50060A" w:rsidRPr="0050060A">
        <w:rPr>
          <w:rFonts w:ascii="Arial" w:hAnsi="Arial" w:cs="Arial"/>
          <w:bCs/>
          <w:sz w:val="28"/>
          <w:szCs w:val="28"/>
        </w:rPr>
        <w:t xml:space="preserve">Dispõe sobre </w:t>
      </w:r>
      <w:r w:rsidR="00253702">
        <w:rPr>
          <w:rFonts w:ascii="Arial" w:hAnsi="Arial" w:cs="Arial"/>
          <w:bCs/>
          <w:sz w:val="28"/>
          <w:szCs w:val="28"/>
        </w:rPr>
        <w:t>a Lei Orçamentária Anual (LOA)</w:t>
      </w:r>
      <w:r w:rsidR="00460E0F" w:rsidRPr="00460E0F">
        <w:rPr>
          <w:rFonts w:ascii="Arial" w:hAnsi="Arial" w:cs="Arial"/>
          <w:bCs/>
          <w:sz w:val="28"/>
          <w:szCs w:val="28"/>
        </w:rPr>
        <w:t>.</w:t>
      </w:r>
    </w:p>
    <w:p w14:paraId="7044C65B" w14:textId="77777777" w:rsidR="00797B07" w:rsidRDefault="00797B07" w:rsidP="00B101FB">
      <w:pPr>
        <w:spacing w:after="0"/>
        <w:jc w:val="both"/>
        <w:rPr>
          <w:rFonts w:ascii="Arial" w:hAnsi="Arial" w:cs="Arial"/>
          <w:bCs/>
          <w:sz w:val="28"/>
          <w:szCs w:val="28"/>
        </w:rPr>
      </w:pPr>
    </w:p>
    <w:p w14:paraId="39E99D31" w14:textId="0D473108"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3F685E">
        <w:rPr>
          <w:rFonts w:ascii="Arial" w:hAnsi="Arial" w:cs="Arial"/>
          <w:b/>
          <w:bCs/>
          <w:sz w:val="28"/>
          <w:szCs w:val="28"/>
        </w:rPr>
        <w:t xml:space="preserve"> </w:t>
      </w:r>
      <w:r w:rsidR="00460E0F">
        <w:rPr>
          <w:rFonts w:ascii="Arial" w:hAnsi="Arial" w:cs="Arial"/>
          <w:sz w:val="28"/>
          <w:szCs w:val="28"/>
        </w:rPr>
        <w:t>Lucas Justin</w:t>
      </w:r>
      <w:r w:rsidR="001B0765">
        <w:rPr>
          <w:rFonts w:ascii="Arial" w:hAnsi="Arial" w:cs="Arial"/>
          <w:sz w:val="28"/>
          <w:szCs w:val="28"/>
        </w:rPr>
        <w:t xml:space="preserve"> </w:t>
      </w:r>
      <w:r w:rsidR="001B0765" w:rsidRPr="001B0765">
        <w:rPr>
          <w:rFonts w:ascii="Arial" w:hAnsi="Arial" w:cs="Arial"/>
          <w:sz w:val="28"/>
          <w:szCs w:val="28"/>
        </w:rPr>
        <w:t xml:space="preserve">Vieira </w:t>
      </w:r>
      <w:r w:rsidR="00FD234E">
        <w:rPr>
          <w:rFonts w:ascii="Arial" w:hAnsi="Arial" w:cs="Arial"/>
          <w:b/>
          <w:bCs/>
          <w:sz w:val="28"/>
          <w:szCs w:val="28"/>
        </w:rPr>
        <w:t xml:space="preserve">                </w:t>
      </w:r>
      <w:r w:rsidR="00D75421">
        <w:rPr>
          <w:rFonts w:ascii="Arial" w:hAnsi="Arial" w:cs="Arial"/>
          <w:b/>
          <w:bCs/>
          <w:sz w:val="28"/>
          <w:szCs w:val="28"/>
        </w:rPr>
        <w:t xml:space="preserve">   </w:t>
      </w:r>
      <w:r w:rsidR="001042DA">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1042DA" w:rsidRPr="001042DA">
        <w:rPr>
          <w:rFonts w:ascii="Arial" w:hAnsi="Arial" w:cs="Arial"/>
          <w:sz w:val="28"/>
          <w:szCs w:val="28"/>
        </w:rPr>
        <w:t>Favorável</w:t>
      </w:r>
    </w:p>
    <w:p w14:paraId="524044D4" w14:textId="77777777" w:rsidR="00B101FB" w:rsidRDefault="00B101FB" w:rsidP="00B101FB">
      <w:pPr>
        <w:spacing w:after="0"/>
        <w:jc w:val="both"/>
        <w:rPr>
          <w:rFonts w:ascii="Arial" w:hAnsi="Arial" w:cs="Arial"/>
          <w:b/>
          <w:bCs/>
          <w:sz w:val="28"/>
          <w:szCs w:val="28"/>
        </w:rPr>
      </w:pPr>
    </w:p>
    <w:p w14:paraId="34A45AD0" w14:textId="5D649599" w:rsidR="006B0F4E" w:rsidRDefault="00B101FB" w:rsidP="00797B07">
      <w:pPr>
        <w:spacing w:after="0"/>
        <w:jc w:val="both"/>
        <w:rPr>
          <w:rFonts w:ascii="Arial" w:hAnsi="Arial" w:cs="Arial"/>
          <w:b/>
          <w:bCs/>
          <w:sz w:val="32"/>
          <w:szCs w:val="32"/>
        </w:rPr>
      </w:pPr>
      <w:r>
        <w:rPr>
          <w:rFonts w:ascii="Arial" w:hAnsi="Arial" w:cs="Arial"/>
          <w:b/>
          <w:bCs/>
          <w:sz w:val="28"/>
          <w:szCs w:val="28"/>
        </w:rPr>
        <w:t xml:space="preserve">Ementa: </w:t>
      </w:r>
      <w:r w:rsidR="00253702" w:rsidRPr="00253702">
        <w:rPr>
          <w:rFonts w:ascii="Times New Roman" w:hAnsi="Times New Roman" w:cs="Times New Roman"/>
          <w:i/>
          <w:iCs/>
          <w:sz w:val="28"/>
          <w:szCs w:val="28"/>
        </w:rPr>
        <w:t>ESTIMA A RECEITA E FIXA A DESPESA DO MUNICÍPIO DE TERRA DE AREIA PARA O EXERCÍCIO FINANCEIRO DE 2026</w:t>
      </w:r>
      <w:r w:rsidR="0050060A" w:rsidRPr="0050060A">
        <w:rPr>
          <w:rFonts w:ascii="Times New Roman" w:hAnsi="Times New Roman" w:cs="Times New Roman"/>
          <w:i/>
          <w:iCs/>
          <w:sz w:val="28"/>
          <w:szCs w:val="28"/>
        </w:rPr>
        <w:t>.</w:t>
      </w:r>
    </w:p>
    <w:p w14:paraId="0936F139" w14:textId="0773E03C" w:rsidR="006B0F4E" w:rsidRDefault="001C5DF9" w:rsidP="00B101FB">
      <w:pPr>
        <w:jc w:val="center"/>
        <w:rPr>
          <w:rFonts w:ascii="Arial" w:hAnsi="Arial" w:cs="Arial"/>
          <w:b/>
          <w:bCs/>
          <w:sz w:val="32"/>
          <w:szCs w:val="32"/>
        </w:rPr>
      </w:pPr>
      <w:r>
        <w:rPr>
          <w:rFonts w:ascii="Arial" w:hAnsi="Arial" w:cs="Arial"/>
          <w:b/>
          <w:bCs/>
          <w:sz w:val="32"/>
          <w:szCs w:val="32"/>
        </w:rPr>
        <w:t xml:space="preserve"> </w:t>
      </w:r>
    </w:p>
    <w:p w14:paraId="64F51C61" w14:textId="25C5E9BA"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460CD3">
      <w:pPr>
        <w:spacing w:line="360" w:lineRule="auto"/>
        <w:jc w:val="center"/>
        <w:rPr>
          <w:rFonts w:ascii="Arial" w:hAnsi="Arial" w:cs="Arial"/>
          <w:b/>
          <w:bCs/>
          <w:sz w:val="32"/>
          <w:szCs w:val="32"/>
        </w:rPr>
      </w:pPr>
    </w:p>
    <w:p w14:paraId="08E23DA9" w14:textId="4BDF042B" w:rsidR="00870630" w:rsidRPr="0050060A" w:rsidRDefault="00253702" w:rsidP="0050060A">
      <w:pPr>
        <w:spacing w:after="0" w:line="360" w:lineRule="auto"/>
        <w:ind w:firstLine="2268"/>
        <w:jc w:val="both"/>
        <w:rPr>
          <w:rFonts w:ascii="Arial" w:hAnsi="Arial" w:cs="Arial"/>
          <w:sz w:val="28"/>
          <w:szCs w:val="28"/>
        </w:rPr>
      </w:pPr>
      <w:r w:rsidRPr="00253702">
        <w:rPr>
          <w:rFonts w:ascii="Arial" w:hAnsi="Arial" w:cs="Arial"/>
          <w:sz w:val="28"/>
          <w:szCs w:val="28"/>
        </w:rPr>
        <w:t xml:space="preserve">Trata-se de análise jurídica e legislativa do Projeto de Lei Municipal nº 67, de 14 de novembro de 2025, de iniciativa do Poder Executivo, que estima a receita e fixa a despesa do Município de Terra de Areia para o exercício financeiro de 2026, no montante de R$ 80.450.088,95, abrangendo o Orçamento Fiscal e o Orçamento da Seguridade Social, nos termos da legislação constitucional, infraconstitucional e da Lei Orgânica Municipal. O projeto encontra-se instruído com mensagem do Executivo, demonstrativos e anexos exigidos, evidenciando compatibilidade com o Plano Plurianual vigente e com a Lei Municipal nº 2.935/2025, </w:t>
      </w:r>
      <w:r w:rsidRPr="00253702">
        <w:rPr>
          <w:rFonts w:ascii="Arial" w:hAnsi="Arial" w:cs="Arial"/>
          <w:sz w:val="28"/>
          <w:szCs w:val="28"/>
        </w:rPr>
        <w:lastRenderedPageBreak/>
        <w:t>que dispõe sobre as Diretrizes Orçamentárias para o exercício de 2026</w:t>
      </w:r>
      <w:r w:rsidR="0050060A" w:rsidRPr="0050060A">
        <w:rPr>
          <w:rFonts w:ascii="Arial" w:hAnsi="Arial" w:cs="Arial"/>
          <w:sz w:val="28"/>
          <w:szCs w:val="28"/>
        </w:rPr>
        <w:t>.</w:t>
      </w:r>
    </w:p>
    <w:p w14:paraId="118E3409" w14:textId="77777777" w:rsidR="00460E0F" w:rsidRDefault="00460E0F" w:rsidP="00B101FB">
      <w:pPr>
        <w:jc w:val="center"/>
        <w:rPr>
          <w:rFonts w:ascii="Arial" w:hAnsi="Arial" w:cs="Arial"/>
          <w:b/>
          <w:bCs/>
          <w:sz w:val="32"/>
          <w:szCs w:val="32"/>
        </w:rPr>
      </w:pPr>
    </w:p>
    <w:p w14:paraId="61A17666" w14:textId="2E9E7F81" w:rsidR="00B101FB" w:rsidRDefault="00B101FB" w:rsidP="00B101FB">
      <w:pPr>
        <w:jc w:val="center"/>
        <w:rPr>
          <w:rFonts w:ascii="Arial" w:hAnsi="Arial" w:cs="Arial"/>
          <w:b/>
          <w:bCs/>
          <w:sz w:val="32"/>
          <w:szCs w:val="32"/>
        </w:rPr>
      </w:pPr>
      <w:r w:rsidRPr="003C63C5">
        <w:rPr>
          <w:rFonts w:ascii="Arial" w:hAnsi="Arial" w:cs="Arial"/>
          <w:b/>
          <w:bCs/>
          <w:sz w:val="32"/>
          <w:szCs w:val="32"/>
        </w:rPr>
        <w:t>Parecer</w:t>
      </w:r>
    </w:p>
    <w:p w14:paraId="0A481A13" w14:textId="77777777" w:rsidR="00B101FB" w:rsidRDefault="00B101FB" w:rsidP="00B101FB">
      <w:pPr>
        <w:spacing w:after="0"/>
        <w:jc w:val="both"/>
        <w:rPr>
          <w:rFonts w:ascii="Arial" w:hAnsi="Arial" w:cs="Arial"/>
          <w:b/>
          <w:bCs/>
          <w:sz w:val="32"/>
          <w:szCs w:val="32"/>
        </w:rPr>
      </w:pPr>
    </w:p>
    <w:p w14:paraId="0B1CF76A" w14:textId="77777777" w:rsidR="00B101FB" w:rsidRDefault="00B101FB" w:rsidP="00B101FB">
      <w:pPr>
        <w:spacing w:after="0"/>
        <w:jc w:val="both"/>
        <w:rPr>
          <w:rFonts w:ascii="Arial" w:hAnsi="Arial" w:cs="Arial"/>
          <w:b/>
          <w:bCs/>
          <w:sz w:val="32"/>
          <w:szCs w:val="32"/>
        </w:rPr>
      </w:pPr>
    </w:p>
    <w:p w14:paraId="7F56A2C2" w14:textId="77777777" w:rsidR="00FE3332" w:rsidRPr="00FE3332" w:rsidRDefault="00FE3332" w:rsidP="00FE3332">
      <w:pPr>
        <w:spacing w:after="0" w:line="360" w:lineRule="auto"/>
        <w:ind w:firstLine="2268"/>
        <w:jc w:val="both"/>
        <w:rPr>
          <w:rFonts w:ascii="Arial" w:hAnsi="Arial" w:cs="Arial"/>
          <w:sz w:val="28"/>
          <w:szCs w:val="28"/>
        </w:rPr>
      </w:pPr>
      <w:r w:rsidRPr="00FE3332">
        <w:rPr>
          <w:rFonts w:ascii="Arial" w:hAnsi="Arial" w:cs="Arial"/>
          <w:sz w:val="28"/>
          <w:szCs w:val="28"/>
        </w:rPr>
        <w:t>Sob o ponto de vista financeiro e fiscal, o Projeto de Lei nº 67/2025 apresenta adequada consistência técnica, observando os princípios do planejamento, do equilíbrio orçamentário, da responsabilidade na gestão fiscal e da sustentabilidade das finanças públicas municipais. A estimativa da receita no montante de R$ 80.450.088,95 foi elaborada com base no comportamento da arrecadação dos exercícios anteriores, no desempenho financeiro do exercício em curso e nas projeções macroeconômicas disponíveis, não se evidenciando superestimação artificial ou incompatibilidade com a capacidade arrecadatória do Município.</w:t>
      </w:r>
    </w:p>
    <w:p w14:paraId="39AEE184" w14:textId="77777777" w:rsidR="00FE3332" w:rsidRPr="00FE3332" w:rsidRDefault="00FE3332" w:rsidP="00FE3332">
      <w:pPr>
        <w:spacing w:after="0" w:line="360" w:lineRule="auto"/>
        <w:ind w:firstLine="2268"/>
        <w:jc w:val="both"/>
        <w:rPr>
          <w:rFonts w:ascii="Arial" w:hAnsi="Arial" w:cs="Arial"/>
          <w:sz w:val="28"/>
          <w:szCs w:val="28"/>
        </w:rPr>
      </w:pPr>
    </w:p>
    <w:p w14:paraId="050E544E" w14:textId="77777777" w:rsidR="00FE3332" w:rsidRPr="00FE3332" w:rsidRDefault="00FE3332" w:rsidP="00FE3332">
      <w:pPr>
        <w:spacing w:after="0" w:line="360" w:lineRule="auto"/>
        <w:ind w:firstLine="2268"/>
        <w:jc w:val="both"/>
        <w:rPr>
          <w:rFonts w:ascii="Arial" w:hAnsi="Arial" w:cs="Arial"/>
          <w:sz w:val="28"/>
          <w:szCs w:val="28"/>
        </w:rPr>
      </w:pPr>
      <w:r w:rsidRPr="00FE3332">
        <w:rPr>
          <w:rFonts w:ascii="Arial" w:hAnsi="Arial" w:cs="Arial"/>
          <w:sz w:val="28"/>
          <w:szCs w:val="28"/>
        </w:rPr>
        <w:t xml:space="preserve">A fixação da despesa em valor equivalente à receita atende ao princípio do equilíbrio fiscal previsto no art. 1º, §1º, da Lei Complementar nº 101/2000, bem como ao art. 12 do mesmo diploma legal, assegurando coerência entre previsão e execução orçamentária. Observa-se que a composição da despesa prioriza gastos obrigatórios e essenciais, preservando a continuidade dos serviços públicos, com adequada distribuição entre despesas correntes, despesas de capital e encargos especiais, notadamente </w:t>
      </w:r>
      <w:r w:rsidRPr="00FE3332">
        <w:rPr>
          <w:rFonts w:ascii="Arial" w:hAnsi="Arial" w:cs="Arial"/>
          <w:sz w:val="28"/>
          <w:szCs w:val="28"/>
        </w:rPr>
        <w:lastRenderedPageBreak/>
        <w:t>no tocante ao pagamento de precatórios, amortização da dívida pública e encargos legais.</w:t>
      </w:r>
    </w:p>
    <w:p w14:paraId="11C4F587" w14:textId="77777777" w:rsidR="00FE3332" w:rsidRPr="00FE3332" w:rsidRDefault="00FE3332" w:rsidP="00FE3332">
      <w:pPr>
        <w:spacing w:after="0" w:line="360" w:lineRule="auto"/>
        <w:ind w:firstLine="2268"/>
        <w:jc w:val="both"/>
        <w:rPr>
          <w:rFonts w:ascii="Arial" w:hAnsi="Arial" w:cs="Arial"/>
          <w:sz w:val="28"/>
          <w:szCs w:val="28"/>
        </w:rPr>
      </w:pPr>
    </w:p>
    <w:p w14:paraId="4C0BF091" w14:textId="77777777" w:rsidR="00FE3332" w:rsidRPr="00FE3332" w:rsidRDefault="00FE3332" w:rsidP="00FE3332">
      <w:pPr>
        <w:spacing w:after="0" w:line="360" w:lineRule="auto"/>
        <w:ind w:firstLine="2268"/>
        <w:jc w:val="both"/>
        <w:rPr>
          <w:rFonts w:ascii="Arial" w:hAnsi="Arial" w:cs="Arial"/>
          <w:sz w:val="28"/>
          <w:szCs w:val="28"/>
        </w:rPr>
      </w:pPr>
      <w:r w:rsidRPr="00FE3332">
        <w:rPr>
          <w:rFonts w:ascii="Arial" w:hAnsi="Arial" w:cs="Arial"/>
          <w:sz w:val="28"/>
          <w:szCs w:val="28"/>
        </w:rPr>
        <w:t>Os demonstrativos financeiros indicam situação fiscal controlada, com dívida consolidada líquida inferior aos limites fixados pelo Senado Federal, disponibilidade de caixa suficiente para cobertura dos restos a pagar e resultado orçamentário superavitário, afastando riscos de desequilíbrio financeiro ou de afronta ao art. 42 da Lei de Responsabilidade Fiscal. Tais dados evidenciam capacidade do Município de honrar seus compromissos no exercício de 2026, sem comprometimento da solvência fiscal.</w:t>
      </w:r>
    </w:p>
    <w:p w14:paraId="0118D12F" w14:textId="77777777" w:rsidR="00FE3332" w:rsidRPr="00FE3332" w:rsidRDefault="00FE3332" w:rsidP="00FE3332">
      <w:pPr>
        <w:spacing w:after="0" w:line="360" w:lineRule="auto"/>
        <w:ind w:firstLine="2268"/>
        <w:jc w:val="both"/>
        <w:rPr>
          <w:rFonts w:ascii="Arial" w:hAnsi="Arial" w:cs="Arial"/>
          <w:sz w:val="28"/>
          <w:szCs w:val="28"/>
        </w:rPr>
      </w:pPr>
    </w:p>
    <w:p w14:paraId="301D97C5" w14:textId="77777777" w:rsidR="00FE3332" w:rsidRPr="00FE3332" w:rsidRDefault="00FE3332" w:rsidP="00FE3332">
      <w:pPr>
        <w:spacing w:after="0" w:line="360" w:lineRule="auto"/>
        <w:ind w:firstLine="2268"/>
        <w:jc w:val="both"/>
        <w:rPr>
          <w:rFonts w:ascii="Arial" w:hAnsi="Arial" w:cs="Arial"/>
          <w:sz w:val="28"/>
          <w:szCs w:val="28"/>
        </w:rPr>
      </w:pPr>
      <w:r w:rsidRPr="00FE3332">
        <w:rPr>
          <w:rFonts w:ascii="Arial" w:hAnsi="Arial" w:cs="Arial"/>
          <w:sz w:val="28"/>
          <w:szCs w:val="28"/>
        </w:rPr>
        <w:t>No que se refere às vinculações legais e constitucionais, constata-se o atendimento aos percentuais mínimos obrigatórios para aplicação em saúde e educação, bem como a correta alocação de recursos ao FUNDEB, em conformidade com a legislação específica. As despesas com pessoal e encargos sociais, conforme projetadas, não indicam extrapolação dos limites previstos nos arts. 19 e 20 da Lei Complementar nº 101/2000, mantendo-se dentro de patamar compatível com a Receita Corrente Líquida do Município.</w:t>
      </w:r>
    </w:p>
    <w:p w14:paraId="7A543409" w14:textId="77777777" w:rsidR="00FE3332" w:rsidRPr="00FE3332" w:rsidRDefault="00FE3332" w:rsidP="00FE3332">
      <w:pPr>
        <w:spacing w:after="0" w:line="360" w:lineRule="auto"/>
        <w:ind w:firstLine="2268"/>
        <w:jc w:val="both"/>
        <w:rPr>
          <w:rFonts w:ascii="Arial" w:hAnsi="Arial" w:cs="Arial"/>
          <w:sz w:val="28"/>
          <w:szCs w:val="28"/>
        </w:rPr>
      </w:pPr>
    </w:p>
    <w:p w14:paraId="0B5D2FF3" w14:textId="77777777" w:rsidR="00FE3332" w:rsidRPr="00FE3332" w:rsidRDefault="00FE3332" w:rsidP="00FE3332">
      <w:pPr>
        <w:spacing w:after="0" w:line="360" w:lineRule="auto"/>
        <w:ind w:firstLine="2268"/>
        <w:jc w:val="both"/>
        <w:rPr>
          <w:rFonts w:ascii="Arial" w:hAnsi="Arial" w:cs="Arial"/>
          <w:sz w:val="28"/>
          <w:szCs w:val="28"/>
        </w:rPr>
      </w:pPr>
      <w:r w:rsidRPr="00FE3332">
        <w:rPr>
          <w:rFonts w:ascii="Arial" w:hAnsi="Arial" w:cs="Arial"/>
          <w:sz w:val="28"/>
          <w:szCs w:val="28"/>
        </w:rPr>
        <w:t xml:space="preserve">A autorização para abertura de créditos suplementares até o limite de 35% da despesa total fixada revela-se financeiramente razoável e juridicamente válida, estando alinhada às disposições da Lei nº 4.320/1964, da Lei de Diretrizes Orçamentárias </w:t>
      </w:r>
      <w:r w:rsidRPr="00FE3332">
        <w:rPr>
          <w:rFonts w:ascii="Arial" w:hAnsi="Arial" w:cs="Arial"/>
          <w:sz w:val="28"/>
          <w:szCs w:val="28"/>
        </w:rPr>
        <w:lastRenderedPageBreak/>
        <w:t>de 2026 e à prática consolidada dos Tribunais de Contas, não comprometendo o controle legislativo nem a estabilidade fiscal, desde que observadas as fontes legais de recursos e as destinações específicas.</w:t>
      </w:r>
    </w:p>
    <w:p w14:paraId="11054416" w14:textId="77777777" w:rsidR="00FE3332" w:rsidRPr="00FE3332" w:rsidRDefault="00FE3332" w:rsidP="00FE3332">
      <w:pPr>
        <w:spacing w:after="0" w:line="360" w:lineRule="auto"/>
        <w:ind w:firstLine="2268"/>
        <w:jc w:val="both"/>
        <w:rPr>
          <w:rFonts w:ascii="Arial" w:hAnsi="Arial" w:cs="Arial"/>
          <w:sz w:val="28"/>
          <w:szCs w:val="28"/>
        </w:rPr>
      </w:pPr>
    </w:p>
    <w:p w14:paraId="3983794E" w14:textId="1211CC6C" w:rsidR="00253702" w:rsidRDefault="00FE3332" w:rsidP="00FE3332">
      <w:pPr>
        <w:spacing w:after="0" w:line="360" w:lineRule="auto"/>
        <w:ind w:firstLine="2268"/>
        <w:jc w:val="both"/>
        <w:rPr>
          <w:rFonts w:ascii="Arial" w:hAnsi="Arial" w:cs="Arial"/>
          <w:sz w:val="28"/>
          <w:szCs w:val="28"/>
        </w:rPr>
      </w:pPr>
      <w:r w:rsidRPr="00FE3332">
        <w:rPr>
          <w:rFonts w:ascii="Arial" w:hAnsi="Arial" w:cs="Arial"/>
          <w:sz w:val="28"/>
          <w:szCs w:val="28"/>
        </w:rPr>
        <w:t>Dessa forma, sob o enfoque financeiro, contábil e fiscal, o Projeto de Lei nº 67/2025 mostra-se compatível com a realidade econômica do Município de Terra de Areia, atendendo aos princípios da prudência, da transparência e da responsabilidade na gestão das finanças públicas, inexistindo óbices de ordem financeira ou legal à sua aprovação.</w:t>
      </w:r>
    </w:p>
    <w:p w14:paraId="5FE41BED" w14:textId="77777777" w:rsidR="00FE3332" w:rsidRDefault="00FE3332" w:rsidP="007F3D20">
      <w:pPr>
        <w:spacing w:after="0" w:line="360" w:lineRule="auto"/>
        <w:ind w:firstLine="2268"/>
        <w:jc w:val="both"/>
        <w:rPr>
          <w:rFonts w:ascii="Arial" w:hAnsi="Arial" w:cs="Arial"/>
          <w:sz w:val="28"/>
          <w:szCs w:val="28"/>
        </w:rPr>
      </w:pPr>
    </w:p>
    <w:p w14:paraId="15DB4EF8" w14:textId="1CF0E093" w:rsidR="007F3D20" w:rsidRPr="0050060A" w:rsidRDefault="007F3D20" w:rsidP="007F3D20">
      <w:pPr>
        <w:spacing w:after="0" w:line="360" w:lineRule="auto"/>
        <w:ind w:firstLine="2268"/>
        <w:jc w:val="both"/>
        <w:rPr>
          <w:rFonts w:ascii="Arial" w:hAnsi="Arial" w:cs="Arial"/>
          <w:sz w:val="28"/>
          <w:szCs w:val="28"/>
        </w:rPr>
      </w:pPr>
      <w:r>
        <w:rPr>
          <w:rFonts w:ascii="Arial" w:hAnsi="Arial" w:cs="Arial"/>
          <w:sz w:val="28"/>
          <w:szCs w:val="28"/>
        </w:rPr>
        <w:t>Diante do exposto, o</w:t>
      </w:r>
      <w:r w:rsidRPr="007F3D20">
        <w:rPr>
          <w:rFonts w:ascii="Arial" w:hAnsi="Arial" w:cs="Arial"/>
          <w:sz w:val="28"/>
          <w:szCs w:val="28"/>
        </w:rPr>
        <w:t xml:space="preserve"> Projeto de Lei nº </w:t>
      </w:r>
      <w:r w:rsidR="00253702">
        <w:rPr>
          <w:rFonts w:ascii="Arial" w:hAnsi="Arial" w:cs="Arial"/>
          <w:sz w:val="28"/>
          <w:szCs w:val="28"/>
        </w:rPr>
        <w:t>67</w:t>
      </w:r>
      <w:r w:rsidRPr="007F3D20">
        <w:rPr>
          <w:rFonts w:ascii="Arial" w:hAnsi="Arial" w:cs="Arial"/>
          <w:sz w:val="28"/>
          <w:szCs w:val="28"/>
        </w:rPr>
        <w:t xml:space="preserve">/2025 mostra-se </w:t>
      </w:r>
      <w:r w:rsidRPr="007F3D20">
        <w:rPr>
          <w:rFonts w:ascii="Arial" w:hAnsi="Arial" w:cs="Arial"/>
          <w:b/>
          <w:bCs/>
          <w:sz w:val="28"/>
          <w:szCs w:val="28"/>
        </w:rPr>
        <w:t>juridicamente viável, constitucional e legal</w:t>
      </w:r>
      <w:r w:rsidRPr="007F3D20">
        <w:rPr>
          <w:rFonts w:ascii="Arial" w:hAnsi="Arial" w:cs="Arial"/>
          <w:sz w:val="28"/>
          <w:szCs w:val="28"/>
        </w:rPr>
        <w:t xml:space="preserve">, atendendo aos ditames da Constituição Federal, da LRF e da legislação municipal. Os anexos demonstram compatibilidade entre </w:t>
      </w:r>
      <w:r w:rsidR="00253702" w:rsidRPr="00253702">
        <w:rPr>
          <w:rFonts w:ascii="Arial" w:hAnsi="Arial" w:cs="Arial"/>
          <w:sz w:val="28"/>
          <w:szCs w:val="28"/>
        </w:rPr>
        <w:t>a Lei Federal nº 4.320/1964, a Lei Orgânica Municipal, o Plano Plurianual e da Lei de Diretrizes Orçamentárias</w:t>
      </w:r>
      <w:r w:rsidRPr="007F3D20">
        <w:rPr>
          <w:rFonts w:ascii="Arial" w:hAnsi="Arial" w:cs="Arial"/>
          <w:sz w:val="28"/>
          <w:szCs w:val="28"/>
        </w:rPr>
        <w:t>.</w:t>
      </w:r>
    </w:p>
    <w:p w14:paraId="6B30E77B" w14:textId="77777777" w:rsidR="0050060A" w:rsidRPr="0050060A" w:rsidRDefault="0050060A" w:rsidP="0050060A">
      <w:pPr>
        <w:spacing w:after="0" w:line="360" w:lineRule="auto"/>
        <w:ind w:firstLine="2268"/>
        <w:jc w:val="both"/>
        <w:rPr>
          <w:rFonts w:ascii="Arial" w:hAnsi="Arial" w:cs="Arial"/>
          <w:sz w:val="28"/>
          <w:szCs w:val="28"/>
        </w:rPr>
      </w:pPr>
    </w:p>
    <w:p w14:paraId="68AA1676" w14:textId="77777777" w:rsidR="0050060A" w:rsidRDefault="0050060A" w:rsidP="00B101FB">
      <w:pPr>
        <w:spacing w:after="0" w:line="360" w:lineRule="auto"/>
        <w:ind w:firstLine="2268"/>
        <w:jc w:val="both"/>
        <w:rPr>
          <w:rFonts w:ascii="Arial" w:hAnsi="Arial" w:cs="Arial"/>
          <w:sz w:val="28"/>
          <w:szCs w:val="28"/>
        </w:rPr>
      </w:pPr>
    </w:p>
    <w:p w14:paraId="20B55071" w14:textId="77777777" w:rsidR="003E0BAF" w:rsidRDefault="003E0BAF" w:rsidP="00A70527">
      <w:pPr>
        <w:rPr>
          <w:rFonts w:ascii="Arial" w:hAnsi="Arial" w:cs="Arial"/>
          <w:b/>
          <w:bCs/>
          <w:sz w:val="32"/>
          <w:szCs w:val="32"/>
        </w:rPr>
      </w:pPr>
    </w:p>
    <w:p w14:paraId="1FCE5113" w14:textId="77777777" w:rsidR="007F3D20" w:rsidRDefault="007F3D20" w:rsidP="00A70527">
      <w:pPr>
        <w:rPr>
          <w:rFonts w:ascii="Arial" w:hAnsi="Arial" w:cs="Arial"/>
          <w:b/>
          <w:bCs/>
          <w:sz w:val="32"/>
          <w:szCs w:val="32"/>
        </w:rPr>
      </w:pPr>
    </w:p>
    <w:p w14:paraId="7AC95396" w14:textId="77777777" w:rsidR="007F3D20" w:rsidRDefault="007F3D20" w:rsidP="00A70527">
      <w:pPr>
        <w:rPr>
          <w:rFonts w:ascii="Arial" w:hAnsi="Arial" w:cs="Arial"/>
          <w:b/>
          <w:bCs/>
          <w:sz w:val="32"/>
          <w:szCs w:val="32"/>
        </w:rPr>
      </w:pPr>
    </w:p>
    <w:p w14:paraId="2F697EE7" w14:textId="77777777" w:rsidR="007F3D20" w:rsidRDefault="007F3D20" w:rsidP="00A70527">
      <w:pPr>
        <w:rPr>
          <w:rFonts w:ascii="Arial" w:hAnsi="Arial" w:cs="Arial"/>
          <w:b/>
          <w:bCs/>
          <w:sz w:val="32"/>
          <w:szCs w:val="32"/>
        </w:rPr>
      </w:pPr>
    </w:p>
    <w:p w14:paraId="710D7D49" w14:textId="77777777" w:rsidR="007F3D20" w:rsidRDefault="007F3D20" w:rsidP="00A70527">
      <w:pPr>
        <w:rPr>
          <w:rFonts w:ascii="Arial" w:hAnsi="Arial" w:cs="Arial"/>
          <w:b/>
          <w:bCs/>
          <w:sz w:val="32"/>
          <w:szCs w:val="32"/>
        </w:rPr>
      </w:pPr>
    </w:p>
    <w:p w14:paraId="6697DE8F" w14:textId="77777777" w:rsidR="00B921F6" w:rsidRDefault="00B921F6" w:rsidP="00B921F6">
      <w:pPr>
        <w:jc w:val="center"/>
        <w:rPr>
          <w:rFonts w:ascii="Arial" w:hAnsi="Arial" w:cs="Arial"/>
          <w:b/>
          <w:bCs/>
          <w:sz w:val="32"/>
          <w:szCs w:val="32"/>
        </w:rPr>
      </w:pPr>
      <w:r>
        <w:rPr>
          <w:rFonts w:ascii="Arial" w:hAnsi="Arial" w:cs="Arial"/>
          <w:b/>
          <w:bCs/>
          <w:sz w:val="32"/>
          <w:szCs w:val="32"/>
        </w:rPr>
        <w:lastRenderedPageBreak/>
        <w:t>Conclusão do Voto</w:t>
      </w:r>
    </w:p>
    <w:p w14:paraId="6B41F4E7" w14:textId="77777777" w:rsidR="00B921F6" w:rsidRDefault="00B921F6" w:rsidP="00B921F6">
      <w:pPr>
        <w:jc w:val="center"/>
        <w:rPr>
          <w:rFonts w:ascii="Arial" w:hAnsi="Arial" w:cs="Arial"/>
          <w:b/>
          <w:bCs/>
          <w:sz w:val="32"/>
          <w:szCs w:val="32"/>
        </w:rPr>
      </w:pPr>
    </w:p>
    <w:p w14:paraId="5C5D43C4" w14:textId="77777777" w:rsidR="00B921F6" w:rsidRDefault="00B921F6" w:rsidP="00B921F6">
      <w:pPr>
        <w:jc w:val="center"/>
        <w:rPr>
          <w:rFonts w:ascii="Arial" w:hAnsi="Arial" w:cs="Arial"/>
          <w:b/>
          <w:bCs/>
          <w:sz w:val="32"/>
          <w:szCs w:val="32"/>
        </w:rPr>
      </w:pPr>
    </w:p>
    <w:p w14:paraId="00FDAE2B" w14:textId="77777777" w:rsidR="00B921F6" w:rsidRDefault="00B921F6" w:rsidP="00B921F6">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1F0F53AE" w14:textId="77777777" w:rsidR="00B921F6" w:rsidRDefault="00B921F6" w:rsidP="00B921F6">
      <w:pPr>
        <w:spacing w:line="360" w:lineRule="auto"/>
        <w:ind w:firstLine="2268"/>
        <w:jc w:val="both"/>
        <w:rPr>
          <w:rFonts w:ascii="Arial" w:hAnsi="Arial" w:cs="Arial"/>
          <w:sz w:val="28"/>
          <w:szCs w:val="28"/>
        </w:rPr>
      </w:pPr>
    </w:p>
    <w:p w14:paraId="2A0A0C8F" w14:textId="77777777" w:rsidR="00B921F6" w:rsidRDefault="00B921F6" w:rsidP="00B921F6">
      <w:pPr>
        <w:spacing w:line="360" w:lineRule="auto"/>
        <w:ind w:firstLine="2268"/>
        <w:jc w:val="both"/>
        <w:rPr>
          <w:rFonts w:ascii="Arial" w:hAnsi="Arial" w:cs="Arial"/>
          <w:sz w:val="28"/>
          <w:szCs w:val="28"/>
        </w:rPr>
      </w:pPr>
    </w:p>
    <w:p w14:paraId="5E90A0D4" w14:textId="3D7F201E" w:rsidR="00B921F6" w:rsidRDefault="00B921F6" w:rsidP="00B921F6">
      <w:pPr>
        <w:spacing w:line="360" w:lineRule="auto"/>
        <w:ind w:firstLine="2268"/>
        <w:jc w:val="both"/>
        <w:rPr>
          <w:rFonts w:ascii="Arial" w:hAnsi="Arial" w:cs="Arial"/>
          <w:sz w:val="28"/>
          <w:szCs w:val="28"/>
        </w:rPr>
      </w:pPr>
      <w:r>
        <w:rPr>
          <w:rFonts w:ascii="Arial" w:hAnsi="Arial" w:cs="Arial"/>
          <w:sz w:val="28"/>
          <w:szCs w:val="28"/>
        </w:rPr>
        <w:t xml:space="preserve">Sala das Comissões, </w:t>
      </w:r>
      <w:r>
        <w:rPr>
          <w:rFonts w:ascii="Arial" w:hAnsi="Arial" w:cs="Arial"/>
          <w:sz w:val="28"/>
          <w:szCs w:val="28"/>
        </w:rPr>
        <w:t>22</w:t>
      </w:r>
      <w:r>
        <w:rPr>
          <w:rFonts w:ascii="Arial" w:hAnsi="Arial" w:cs="Arial"/>
          <w:sz w:val="28"/>
          <w:szCs w:val="28"/>
        </w:rPr>
        <w:t xml:space="preserve"> de </w:t>
      </w:r>
      <w:r>
        <w:rPr>
          <w:rFonts w:ascii="Arial" w:hAnsi="Arial" w:cs="Arial"/>
          <w:sz w:val="28"/>
          <w:szCs w:val="28"/>
        </w:rPr>
        <w:t>dezembro</w:t>
      </w:r>
      <w:r>
        <w:rPr>
          <w:rFonts w:ascii="Arial" w:hAnsi="Arial" w:cs="Arial"/>
          <w:sz w:val="28"/>
          <w:szCs w:val="28"/>
        </w:rPr>
        <w:t xml:space="preserve"> de 2025.</w:t>
      </w:r>
    </w:p>
    <w:p w14:paraId="6D76C329" w14:textId="77777777" w:rsidR="00B921F6" w:rsidRDefault="00B921F6" w:rsidP="00B921F6">
      <w:pPr>
        <w:ind w:firstLine="2268"/>
        <w:jc w:val="both"/>
        <w:rPr>
          <w:rFonts w:ascii="Arial" w:hAnsi="Arial" w:cs="Arial"/>
          <w:sz w:val="28"/>
          <w:szCs w:val="28"/>
        </w:rPr>
      </w:pPr>
    </w:p>
    <w:p w14:paraId="0029F1D6" w14:textId="77777777" w:rsidR="00B921F6" w:rsidRDefault="00B921F6" w:rsidP="00B921F6">
      <w:pPr>
        <w:ind w:firstLine="2268"/>
        <w:jc w:val="both"/>
        <w:rPr>
          <w:rFonts w:ascii="Arial" w:hAnsi="Arial" w:cs="Arial"/>
          <w:sz w:val="28"/>
          <w:szCs w:val="28"/>
        </w:rPr>
      </w:pPr>
    </w:p>
    <w:p w14:paraId="642F4E9F" w14:textId="77777777" w:rsidR="00B921F6" w:rsidRDefault="00B921F6" w:rsidP="00B921F6">
      <w:pPr>
        <w:jc w:val="center"/>
        <w:rPr>
          <w:rFonts w:ascii="Arial" w:hAnsi="Arial" w:cs="Arial"/>
          <w:sz w:val="28"/>
          <w:szCs w:val="28"/>
        </w:rPr>
      </w:pPr>
      <w:r>
        <w:rPr>
          <w:rFonts w:ascii="Arial" w:hAnsi="Arial" w:cs="Arial"/>
          <w:sz w:val="28"/>
          <w:szCs w:val="28"/>
        </w:rPr>
        <w:t>Presidente da COF</w:t>
      </w:r>
    </w:p>
    <w:p w14:paraId="05E8063B" w14:textId="77777777" w:rsidR="00B921F6" w:rsidRDefault="00B921F6" w:rsidP="00B921F6">
      <w:pPr>
        <w:jc w:val="center"/>
        <w:rPr>
          <w:rFonts w:ascii="Arial" w:hAnsi="Arial" w:cs="Arial"/>
          <w:sz w:val="28"/>
          <w:szCs w:val="28"/>
        </w:rPr>
      </w:pPr>
    </w:p>
    <w:p w14:paraId="3143A67A" w14:textId="77777777" w:rsidR="00B921F6" w:rsidRDefault="00B921F6" w:rsidP="00B921F6">
      <w:pPr>
        <w:jc w:val="center"/>
        <w:rPr>
          <w:rFonts w:ascii="Arial" w:hAnsi="Arial" w:cs="Arial"/>
          <w:sz w:val="28"/>
          <w:szCs w:val="28"/>
        </w:rPr>
      </w:pPr>
    </w:p>
    <w:p w14:paraId="0B567422" w14:textId="77777777" w:rsidR="00B921F6" w:rsidRDefault="00B921F6" w:rsidP="00B921F6">
      <w:pPr>
        <w:jc w:val="center"/>
        <w:rPr>
          <w:rFonts w:ascii="Arial" w:hAnsi="Arial" w:cs="Arial"/>
          <w:sz w:val="28"/>
          <w:szCs w:val="28"/>
        </w:rPr>
      </w:pPr>
      <w:r>
        <w:rPr>
          <w:rFonts w:ascii="Arial" w:hAnsi="Arial" w:cs="Arial"/>
          <w:sz w:val="28"/>
          <w:szCs w:val="28"/>
        </w:rPr>
        <w:t>Relator</w:t>
      </w:r>
    </w:p>
    <w:p w14:paraId="0EB1FFB7" w14:textId="77777777" w:rsidR="00B921F6" w:rsidRDefault="00B921F6" w:rsidP="00B921F6">
      <w:pPr>
        <w:ind w:firstLine="2268"/>
        <w:jc w:val="both"/>
        <w:rPr>
          <w:rFonts w:ascii="Arial" w:hAnsi="Arial" w:cs="Arial"/>
          <w:sz w:val="28"/>
          <w:szCs w:val="28"/>
        </w:rPr>
      </w:pPr>
    </w:p>
    <w:p w14:paraId="5DABCE45" w14:textId="77777777" w:rsidR="00B921F6" w:rsidRDefault="00B921F6" w:rsidP="00B921F6">
      <w:pPr>
        <w:ind w:firstLine="2268"/>
        <w:jc w:val="both"/>
        <w:rPr>
          <w:rFonts w:ascii="Arial" w:hAnsi="Arial" w:cs="Arial"/>
          <w:sz w:val="28"/>
          <w:szCs w:val="28"/>
        </w:rPr>
      </w:pPr>
    </w:p>
    <w:p w14:paraId="23150F26" w14:textId="77777777" w:rsidR="00B921F6" w:rsidRDefault="00B921F6" w:rsidP="00B921F6">
      <w:pPr>
        <w:rPr>
          <w:rFonts w:ascii="Arial" w:hAnsi="Arial" w:cs="Arial"/>
          <w:sz w:val="28"/>
          <w:szCs w:val="28"/>
        </w:rPr>
      </w:pPr>
      <w:r>
        <w:rPr>
          <w:rFonts w:ascii="Arial" w:hAnsi="Arial" w:cs="Arial"/>
          <w:sz w:val="28"/>
          <w:szCs w:val="28"/>
        </w:rPr>
        <w:t>Pelas Conclusões:</w:t>
      </w:r>
    </w:p>
    <w:p w14:paraId="79F2F5B9" w14:textId="77777777" w:rsidR="00B921F6" w:rsidRDefault="00B921F6" w:rsidP="00B921F6">
      <w:pPr>
        <w:jc w:val="both"/>
        <w:rPr>
          <w:rFonts w:ascii="Arial" w:hAnsi="Arial" w:cs="Arial"/>
          <w:sz w:val="28"/>
          <w:szCs w:val="28"/>
        </w:rPr>
      </w:pPr>
    </w:p>
    <w:p w14:paraId="78C9C100" w14:textId="77777777" w:rsidR="00B921F6" w:rsidRDefault="00B921F6" w:rsidP="00B921F6">
      <w:pPr>
        <w:jc w:val="both"/>
        <w:rPr>
          <w:rFonts w:ascii="Arial" w:hAnsi="Arial" w:cs="Arial"/>
          <w:sz w:val="28"/>
          <w:szCs w:val="28"/>
        </w:rPr>
      </w:pPr>
    </w:p>
    <w:p w14:paraId="6EFE1482" w14:textId="77777777" w:rsidR="00B921F6" w:rsidRPr="006556E4" w:rsidRDefault="00B921F6" w:rsidP="00B921F6">
      <w:pPr>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Vereador                Vereador                Vereador </w:t>
      </w:r>
    </w:p>
    <w:p w14:paraId="41C47D21" w14:textId="22425A88" w:rsidR="00C02D3D" w:rsidRPr="006556E4" w:rsidRDefault="00C02D3D" w:rsidP="00B921F6">
      <w:pPr>
        <w:jc w:val="center"/>
        <w:rPr>
          <w:rFonts w:ascii="Arial" w:hAnsi="Arial" w:cs="Arial"/>
          <w:sz w:val="28"/>
          <w:szCs w:val="28"/>
        </w:rPr>
      </w:pPr>
    </w:p>
    <w:sectPr w:rsidR="00C02D3D" w:rsidRPr="006556E4" w:rsidSect="00511304">
      <w:headerReference w:type="default" r:id="rId7"/>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CACA9" w14:textId="77777777" w:rsidR="008D2CA2" w:rsidRDefault="008D2CA2" w:rsidP="002A69D2">
      <w:pPr>
        <w:spacing w:after="0" w:line="240" w:lineRule="auto"/>
      </w:pPr>
      <w:r>
        <w:separator/>
      </w:r>
    </w:p>
  </w:endnote>
  <w:endnote w:type="continuationSeparator" w:id="0">
    <w:p w14:paraId="0818C686" w14:textId="77777777" w:rsidR="008D2CA2" w:rsidRDefault="008D2CA2"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0830D" w14:textId="77777777" w:rsidR="008D2CA2" w:rsidRDefault="008D2CA2" w:rsidP="002A69D2">
      <w:pPr>
        <w:spacing w:after="0" w:line="240" w:lineRule="auto"/>
      </w:pPr>
      <w:r>
        <w:separator/>
      </w:r>
    </w:p>
  </w:footnote>
  <w:footnote w:type="continuationSeparator" w:id="0">
    <w:p w14:paraId="4BE61EDA" w14:textId="77777777" w:rsidR="008D2CA2" w:rsidRDefault="008D2CA2"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07F20EAF" w14:textId="77777777" w:rsidR="00511304" w:rsidRPr="002A69D2" w:rsidRDefault="00511304" w:rsidP="002A69D2">
    <w:pPr>
      <w:spacing w:after="0" w:line="240" w:lineRule="auto"/>
      <w:jc w:val="center"/>
      <w:rPr>
        <w:rFonts w:ascii="Arial" w:hAnsi="Arial" w:cs="Arial"/>
        <w:b/>
        <w:sz w:val="20"/>
        <w:szCs w:val="20"/>
      </w:rPr>
    </w:pPr>
  </w:p>
  <w:p w14:paraId="26039785" w14:textId="77777777" w:rsidR="002A69D2" w:rsidRDefault="002A69D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B30F3"/>
    <w:multiLevelType w:val="multilevel"/>
    <w:tmpl w:val="20F49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BB3E58"/>
    <w:multiLevelType w:val="multilevel"/>
    <w:tmpl w:val="D9CAC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1C0FB7"/>
    <w:multiLevelType w:val="hybridMultilevel"/>
    <w:tmpl w:val="2CFAEEE2"/>
    <w:lvl w:ilvl="0" w:tplc="2AE4E314">
      <w:start w:val="1"/>
      <w:numFmt w:val="lowerLetter"/>
      <w:lvlText w:val="%1)"/>
      <w:lvlJc w:val="left"/>
      <w:pPr>
        <w:ind w:left="2628" w:hanging="360"/>
      </w:pPr>
      <w:rPr>
        <w:rFonts w:hint="default"/>
      </w:rPr>
    </w:lvl>
    <w:lvl w:ilvl="1" w:tplc="04160019" w:tentative="1">
      <w:start w:val="1"/>
      <w:numFmt w:val="lowerLetter"/>
      <w:lvlText w:val="%2."/>
      <w:lvlJc w:val="left"/>
      <w:pPr>
        <w:ind w:left="3348" w:hanging="360"/>
      </w:pPr>
    </w:lvl>
    <w:lvl w:ilvl="2" w:tplc="0416001B" w:tentative="1">
      <w:start w:val="1"/>
      <w:numFmt w:val="lowerRoman"/>
      <w:lvlText w:val="%3."/>
      <w:lvlJc w:val="right"/>
      <w:pPr>
        <w:ind w:left="4068" w:hanging="180"/>
      </w:pPr>
    </w:lvl>
    <w:lvl w:ilvl="3" w:tplc="0416000F" w:tentative="1">
      <w:start w:val="1"/>
      <w:numFmt w:val="decimal"/>
      <w:lvlText w:val="%4."/>
      <w:lvlJc w:val="left"/>
      <w:pPr>
        <w:ind w:left="4788" w:hanging="360"/>
      </w:pPr>
    </w:lvl>
    <w:lvl w:ilvl="4" w:tplc="04160019" w:tentative="1">
      <w:start w:val="1"/>
      <w:numFmt w:val="lowerLetter"/>
      <w:lvlText w:val="%5."/>
      <w:lvlJc w:val="left"/>
      <w:pPr>
        <w:ind w:left="5508" w:hanging="360"/>
      </w:pPr>
    </w:lvl>
    <w:lvl w:ilvl="5" w:tplc="0416001B" w:tentative="1">
      <w:start w:val="1"/>
      <w:numFmt w:val="lowerRoman"/>
      <w:lvlText w:val="%6."/>
      <w:lvlJc w:val="right"/>
      <w:pPr>
        <w:ind w:left="6228" w:hanging="180"/>
      </w:pPr>
    </w:lvl>
    <w:lvl w:ilvl="6" w:tplc="0416000F" w:tentative="1">
      <w:start w:val="1"/>
      <w:numFmt w:val="decimal"/>
      <w:lvlText w:val="%7."/>
      <w:lvlJc w:val="left"/>
      <w:pPr>
        <w:ind w:left="6948" w:hanging="360"/>
      </w:pPr>
    </w:lvl>
    <w:lvl w:ilvl="7" w:tplc="04160019" w:tentative="1">
      <w:start w:val="1"/>
      <w:numFmt w:val="lowerLetter"/>
      <w:lvlText w:val="%8."/>
      <w:lvlJc w:val="left"/>
      <w:pPr>
        <w:ind w:left="7668" w:hanging="360"/>
      </w:pPr>
    </w:lvl>
    <w:lvl w:ilvl="8" w:tplc="0416001B" w:tentative="1">
      <w:start w:val="1"/>
      <w:numFmt w:val="lowerRoman"/>
      <w:lvlText w:val="%9."/>
      <w:lvlJc w:val="right"/>
      <w:pPr>
        <w:ind w:left="8388" w:hanging="180"/>
      </w:pPr>
    </w:lvl>
  </w:abstractNum>
  <w:abstractNum w:abstractNumId="3" w15:restartNumberingAfterBreak="0">
    <w:nsid w:val="59845905"/>
    <w:multiLevelType w:val="multilevel"/>
    <w:tmpl w:val="BFA6E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F62ABD"/>
    <w:multiLevelType w:val="multilevel"/>
    <w:tmpl w:val="9448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3174398">
    <w:abstractNumId w:val="2"/>
  </w:num>
  <w:num w:numId="2" w16cid:durableId="132600685">
    <w:abstractNumId w:val="4"/>
  </w:num>
  <w:num w:numId="3" w16cid:durableId="896622261">
    <w:abstractNumId w:val="3"/>
  </w:num>
  <w:num w:numId="4" w16cid:durableId="1866864396">
    <w:abstractNumId w:val="0"/>
  </w:num>
  <w:num w:numId="5" w16cid:durableId="101193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6A3C"/>
    <w:rsid w:val="00017896"/>
    <w:rsid w:val="0003317D"/>
    <w:rsid w:val="00046FAA"/>
    <w:rsid w:val="0005019E"/>
    <w:rsid w:val="00060DFE"/>
    <w:rsid w:val="00063658"/>
    <w:rsid w:val="00066726"/>
    <w:rsid w:val="00070D8A"/>
    <w:rsid w:val="0008552A"/>
    <w:rsid w:val="00096722"/>
    <w:rsid w:val="000B0D42"/>
    <w:rsid w:val="000B14C9"/>
    <w:rsid w:val="000B3185"/>
    <w:rsid w:val="000C1D6B"/>
    <w:rsid w:val="000E281B"/>
    <w:rsid w:val="000F2C56"/>
    <w:rsid w:val="000F57A0"/>
    <w:rsid w:val="001042DA"/>
    <w:rsid w:val="00112167"/>
    <w:rsid w:val="001130B3"/>
    <w:rsid w:val="00116E4D"/>
    <w:rsid w:val="00123C0D"/>
    <w:rsid w:val="0013156A"/>
    <w:rsid w:val="001369BF"/>
    <w:rsid w:val="001511FF"/>
    <w:rsid w:val="00153AEF"/>
    <w:rsid w:val="00155593"/>
    <w:rsid w:val="001A73AD"/>
    <w:rsid w:val="001A7EA4"/>
    <w:rsid w:val="001B0765"/>
    <w:rsid w:val="001B2281"/>
    <w:rsid w:val="001C416D"/>
    <w:rsid w:val="001C5DF9"/>
    <w:rsid w:val="001E1A3B"/>
    <w:rsid w:val="001E3443"/>
    <w:rsid w:val="002025E0"/>
    <w:rsid w:val="0020527C"/>
    <w:rsid w:val="00217919"/>
    <w:rsid w:val="002245F4"/>
    <w:rsid w:val="00253702"/>
    <w:rsid w:val="00265959"/>
    <w:rsid w:val="00280D3B"/>
    <w:rsid w:val="002840A3"/>
    <w:rsid w:val="002A69D2"/>
    <w:rsid w:val="002A76F0"/>
    <w:rsid w:val="002B1F6F"/>
    <w:rsid w:val="002C086E"/>
    <w:rsid w:val="002E20FF"/>
    <w:rsid w:val="002F4AFF"/>
    <w:rsid w:val="002F7C70"/>
    <w:rsid w:val="00303DFF"/>
    <w:rsid w:val="00322C50"/>
    <w:rsid w:val="00340ABF"/>
    <w:rsid w:val="00342169"/>
    <w:rsid w:val="0034539F"/>
    <w:rsid w:val="0035240D"/>
    <w:rsid w:val="00371E9A"/>
    <w:rsid w:val="00377622"/>
    <w:rsid w:val="003820EA"/>
    <w:rsid w:val="0038278B"/>
    <w:rsid w:val="00387CFA"/>
    <w:rsid w:val="00393A71"/>
    <w:rsid w:val="003951DD"/>
    <w:rsid w:val="003A14BC"/>
    <w:rsid w:val="003A6241"/>
    <w:rsid w:val="003B40B1"/>
    <w:rsid w:val="003B706D"/>
    <w:rsid w:val="003E0BAF"/>
    <w:rsid w:val="003F685E"/>
    <w:rsid w:val="003F7107"/>
    <w:rsid w:val="00443E4C"/>
    <w:rsid w:val="0045414A"/>
    <w:rsid w:val="00460CD3"/>
    <w:rsid w:val="00460E0F"/>
    <w:rsid w:val="00463F0A"/>
    <w:rsid w:val="00464583"/>
    <w:rsid w:val="00466395"/>
    <w:rsid w:val="00474E0A"/>
    <w:rsid w:val="0049003E"/>
    <w:rsid w:val="00497C2A"/>
    <w:rsid w:val="004C01A3"/>
    <w:rsid w:val="004C232D"/>
    <w:rsid w:val="004E3380"/>
    <w:rsid w:val="004F0EAA"/>
    <w:rsid w:val="0050060A"/>
    <w:rsid w:val="00507FC6"/>
    <w:rsid w:val="00511304"/>
    <w:rsid w:val="005343D4"/>
    <w:rsid w:val="005522CE"/>
    <w:rsid w:val="00557A5A"/>
    <w:rsid w:val="005603B7"/>
    <w:rsid w:val="00566BDD"/>
    <w:rsid w:val="00573CB3"/>
    <w:rsid w:val="00575E16"/>
    <w:rsid w:val="00581A66"/>
    <w:rsid w:val="00585A73"/>
    <w:rsid w:val="005925C9"/>
    <w:rsid w:val="005B0A84"/>
    <w:rsid w:val="005B43E4"/>
    <w:rsid w:val="005C51F3"/>
    <w:rsid w:val="005E4F29"/>
    <w:rsid w:val="00607E3F"/>
    <w:rsid w:val="0064105C"/>
    <w:rsid w:val="00647737"/>
    <w:rsid w:val="006556E4"/>
    <w:rsid w:val="00657B29"/>
    <w:rsid w:val="00673A92"/>
    <w:rsid w:val="00677F6B"/>
    <w:rsid w:val="0068783E"/>
    <w:rsid w:val="00691782"/>
    <w:rsid w:val="006B0F4E"/>
    <w:rsid w:val="006B74A1"/>
    <w:rsid w:val="006F4689"/>
    <w:rsid w:val="00715F9A"/>
    <w:rsid w:val="00716652"/>
    <w:rsid w:val="00752FA8"/>
    <w:rsid w:val="00767AAF"/>
    <w:rsid w:val="007841EA"/>
    <w:rsid w:val="00797B07"/>
    <w:rsid w:val="00797F28"/>
    <w:rsid w:val="007A50E1"/>
    <w:rsid w:val="007C3B67"/>
    <w:rsid w:val="007F018B"/>
    <w:rsid w:val="007F3D20"/>
    <w:rsid w:val="0080150D"/>
    <w:rsid w:val="008132D8"/>
    <w:rsid w:val="008201F1"/>
    <w:rsid w:val="008212F8"/>
    <w:rsid w:val="008229EB"/>
    <w:rsid w:val="00835DA8"/>
    <w:rsid w:val="00843341"/>
    <w:rsid w:val="008467F1"/>
    <w:rsid w:val="0085424D"/>
    <w:rsid w:val="00870630"/>
    <w:rsid w:val="00887C0E"/>
    <w:rsid w:val="008A323D"/>
    <w:rsid w:val="008B0710"/>
    <w:rsid w:val="008B1A4E"/>
    <w:rsid w:val="008D2CA2"/>
    <w:rsid w:val="008F0263"/>
    <w:rsid w:val="00972C19"/>
    <w:rsid w:val="00981741"/>
    <w:rsid w:val="00983BEE"/>
    <w:rsid w:val="009859AA"/>
    <w:rsid w:val="009C0075"/>
    <w:rsid w:val="009E1378"/>
    <w:rsid w:val="009E28AE"/>
    <w:rsid w:val="009E780D"/>
    <w:rsid w:val="00A0427A"/>
    <w:rsid w:val="00A13B11"/>
    <w:rsid w:val="00A70527"/>
    <w:rsid w:val="00AA4D79"/>
    <w:rsid w:val="00AD28AE"/>
    <w:rsid w:val="00AD5CA5"/>
    <w:rsid w:val="00AE70C1"/>
    <w:rsid w:val="00AF4DB7"/>
    <w:rsid w:val="00AF67FA"/>
    <w:rsid w:val="00B02194"/>
    <w:rsid w:val="00B101FB"/>
    <w:rsid w:val="00B103BA"/>
    <w:rsid w:val="00B157FF"/>
    <w:rsid w:val="00B24BDE"/>
    <w:rsid w:val="00B4602B"/>
    <w:rsid w:val="00B75306"/>
    <w:rsid w:val="00B921F6"/>
    <w:rsid w:val="00BB16DC"/>
    <w:rsid w:val="00BB3E7C"/>
    <w:rsid w:val="00BD539C"/>
    <w:rsid w:val="00BF17A7"/>
    <w:rsid w:val="00BF44C6"/>
    <w:rsid w:val="00C02D3D"/>
    <w:rsid w:val="00C30623"/>
    <w:rsid w:val="00C365BD"/>
    <w:rsid w:val="00C765DA"/>
    <w:rsid w:val="00CA43A7"/>
    <w:rsid w:val="00CC3D2D"/>
    <w:rsid w:val="00CC55E3"/>
    <w:rsid w:val="00CE08A5"/>
    <w:rsid w:val="00CF394F"/>
    <w:rsid w:val="00D06BF9"/>
    <w:rsid w:val="00D14A1B"/>
    <w:rsid w:val="00D16F8D"/>
    <w:rsid w:val="00D342DC"/>
    <w:rsid w:val="00D50F7D"/>
    <w:rsid w:val="00D52224"/>
    <w:rsid w:val="00D61427"/>
    <w:rsid w:val="00D64112"/>
    <w:rsid w:val="00D650E9"/>
    <w:rsid w:val="00D6677A"/>
    <w:rsid w:val="00D75421"/>
    <w:rsid w:val="00D82637"/>
    <w:rsid w:val="00D82E5E"/>
    <w:rsid w:val="00DA4120"/>
    <w:rsid w:val="00DC524A"/>
    <w:rsid w:val="00DE7186"/>
    <w:rsid w:val="00E108F4"/>
    <w:rsid w:val="00E27810"/>
    <w:rsid w:val="00E27FE0"/>
    <w:rsid w:val="00E360A2"/>
    <w:rsid w:val="00E56BBE"/>
    <w:rsid w:val="00E579F6"/>
    <w:rsid w:val="00E65797"/>
    <w:rsid w:val="00E74A85"/>
    <w:rsid w:val="00E81F89"/>
    <w:rsid w:val="00ED0E4A"/>
    <w:rsid w:val="00EF590C"/>
    <w:rsid w:val="00F301AA"/>
    <w:rsid w:val="00F30441"/>
    <w:rsid w:val="00F63300"/>
    <w:rsid w:val="00F70E04"/>
    <w:rsid w:val="00F73CC4"/>
    <w:rsid w:val="00F82E7E"/>
    <w:rsid w:val="00F97B1E"/>
    <w:rsid w:val="00FA7DB7"/>
    <w:rsid w:val="00FC563E"/>
    <w:rsid w:val="00FC6BE3"/>
    <w:rsid w:val="00FD1B7E"/>
    <w:rsid w:val="00FD234E"/>
    <w:rsid w:val="00FE3332"/>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paragraph" w:styleId="Ttulo1">
    <w:name w:val="heading 1"/>
    <w:basedOn w:val="Normal"/>
    <w:next w:val="Normal"/>
    <w:link w:val="Ttulo1Char"/>
    <w:uiPriority w:val="9"/>
    <w:qFormat/>
    <w:rsid w:val="0064105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 w:type="paragraph" w:styleId="PargrafodaLista">
    <w:name w:val="List Paragraph"/>
    <w:basedOn w:val="Normal"/>
    <w:uiPriority w:val="34"/>
    <w:qFormat/>
    <w:rsid w:val="008467F1"/>
    <w:pPr>
      <w:ind w:left="720"/>
      <w:contextualSpacing/>
    </w:pPr>
  </w:style>
  <w:style w:type="paragraph" w:styleId="NormalWeb">
    <w:name w:val="Normal (Web)"/>
    <w:basedOn w:val="Normal"/>
    <w:uiPriority w:val="99"/>
    <w:semiHidden/>
    <w:unhideWhenUsed/>
    <w:rsid w:val="00D06BF9"/>
    <w:rPr>
      <w:rFonts w:ascii="Times New Roman" w:hAnsi="Times New Roman" w:cs="Times New Roman"/>
      <w:sz w:val="24"/>
      <w:szCs w:val="24"/>
    </w:rPr>
  </w:style>
  <w:style w:type="character" w:customStyle="1" w:styleId="Ttulo1Char">
    <w:name w:val="Título 1 Char"/>
    <w:basedOn w:val="Fontepargpadro"/>
    <w:link w:val="Ttulo1"/>
    <w:uiPriority w:val="9"/>
    <w:rsid w:val="0064105C"/>
    <w:rPr>
      <w:rFonts w:asciiTheme="majorHAnsi" w:eastAsiaTheme="majorEastAsia" w:hAnsiTheme="majorHAnsi" w:cstheme="majorBidi"/>
      <w:color w:val="2F5496" w:themeColor="accent1" w:themeShade="BF"/>
      <w:kern w:val="0"/>
      <w:sz w:val="32"/>
      <w:szCs w:val="32"/>
      <w14:ligatures w14:val="none"/>
    </w:rPr>
  </w:style>
  <w:style w:type="character" w:styleId="Hyperlink">
    <w:name w:val="Hyperlink"/>
    <w:basedOn w:val="Fontepargpadro"/>
    <w:uiPriority w:val="99"/>
    <w:unhideWhenUsed/>
    <w:rsid w:val="00460E0F"/>
    <w:rPr>
      <w:color w:val="0563C1" w:themeColor="hyperlink"/>
      <w:u w:val="single"/>
    </w:rPr>
  </w:style>
  <w:style w:type="character" w:styleId="MenoPendente">
    <w:name w:val="Unresolved Mention"/>
    <w:basedOn w:val="Fontepargpadro"/>
    <w:uiPriority w:val="99"/>
    <w:semiHidden/>
    <w:unhideWhenUsed/>
    <w:rsid w:val="00460E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676">
      <w:bodyDiv w:val="1"/>
      <w:marLeft w:val="0"/>
      <w:marRight w:val="0"/>
      <w:marTop w:val="0"/>
      <w:marBottom w:val="0"/>
      <w:divBdr>
        <w:top w:val="none" w:sz="0" w:space="0" w:color="auto"/>
        <w:left w:val="none" w:sz="0" w:space="0" w:color="auto"/>
        <w:bottom w:val="none" w:sz="0" w:space="0" w:color="auto"/>
        <w:right w:val="none" w:sz="0" w:space="0" w:color="auto"/>
      </w:divBdr>
    </w:div>
    <w:div w:id="427119612">
      <w:bodyDiv w:val="1"/>
      <w:marLeft w:val="0"/>
      <w:marRight w:val="0"/>
      <w:marTop w:val="0"/>
      <w:marBottom w:val="0"/>
      <w:divBdr>
        <w:top w:val="none" w:sz="0" w:space="0" w:color="auto"/>
        <w:left w:val="none" w:sz="0" w:space="0" w:color="auto"/>
        <w:bottom w:val="none" w:sz="0" w:space="0" w:color="auto"/>
        <w:right w:val="none" w:sz="0" w:space="0" w:color="auto"/>
      </w:divBdr>
    </w:div>
    <w:div w:id="702681205">
      <w:bodyDiv w:val="1"/>
      <w:marLeft w:val="0"/>
      <w:marRight w:val="0"/>
      <w:marTop w:val="0"/>
      <w:marBottom w:val="0"/>
      <w:divBdr>
        <w:top w:val="none" w:sz="0" w:space="0" w:color="auto"/>
        <w:left w:val="none" w:sz="0" w:space="0" w:color="auto"/>
        <w:bottom w:val="none" w:sz="0" w:space="0" w:color="auto"/>
        <w:right w:val="none" w:sz="0" w:space="0" w:color="auto"/>
      </w:divBdr>
    </w:div>
    <w:div w:id="777987372">
      <w:bodyDiv w:val="1"/>
      <w:marLeft w:val="0"/>
      <w:marRight w:val="0"/>
      <w:marTop w:val="0"/>
      <w:marBottom w:val="0"/>
      <w:divBdr>
        <w:top w:val="none" w:sz="0" w:space="0" w:color="auto"/>
        <w:left w:val="none" w:sz="0" w:space="0" w:color="auto"/>
        <w:bottom w:val="none" w:sz="0" w:space="0" w:color="auto"/>
        <w:right w:val="none" w:sz="0" w:space="0" w:color="auto"/>
      </w:divBdr>
      <w:divsChild>
        <w:div w:id="1977099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8764149">
      <w:bodyDiv w:val="1"/>
      <w:marLeft w:val="0"/>
      <w:marRight w:val="0"/>
      <w:marTop w:val="0"/>
      <w:marBottom w:val="0"/>
      <w:divBdr>
        <w:top w:val="none" w:sz="0" w:space="0" w:color="auto"/>
        <w:left w:val="none" w:sz="0" w:space="0" w:color="auto"/>
        <w:bottom w:val="none" w:sz="0" w:space="0" w:color="auto"/>
        <w:right w:val="none" w:sz="0" w:space="0" w:color="auto"/>
      </w:divBdr>
    </w:div>
    <w:div w:id="1026517111">
      <w:bodyDiv w:val="1"/>
      <w:marLeft w:val="0"/>
      <w:marRight w:val="0"/>
      <w:marTop w:val="0"/>
      <w:marBottom w:val="0"/>
      <w:divBdr>
        <w:top w:val="none" w:sz="0" w:space="0" w:color="auto"/>
        <w:left w:val="none" w:sz="0" w:space="0" w:color="auto"/>
        <w:bottom w:val="none" w:sz="0" w:space="0" w:color="auto"/>
        <w:right w:val="none" w:sz="0" w:space="0" w:color="auto"/>
      </w:divBdr>
      <w:divsChild>
        <w:div w:id="587351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1731293">
      <w:bodyDiv w:val="1"/>
      <w:marLeft w:val="0"/>
      <w:marRight w:val="0"/>
      <w:marTop w:val="0"/>
      <w:marBottom w:val="0"/>
      <w:divBdr>
        <w:top w:val="none" w:sz="0" w:space="0" w:color="auto"/>
        <w:left w:val="none" w:sz="0" w:space="0" w:color="auto"/>
        <w:bottom w:val="none" w:sz="0" w:space="0" w:color="auto"/>
        <w:right w:val="none" w:sz="0" w:space="0" w:color="auto"/>
      </w:divBdr>
    </w:div>
    <w:div w:id="1516192917">
      <w:bodyDiv w:val="1"/>
      <w:marLeft w:val="0"/>
      <w:marRight w:val="0"/>
      <w:marTop w:val="0"/>
      <w:marBottom w:val="0"/>
      <w:divBdr>
        <w:top w:val="none" w:sz="0" w:space="0" w:color="auto"/>
        <w:left w:val="none" w:sz="0" w:space="0" w:color="auto"/>
        <w:bottom w:val="none" w:sz="0" w:space="0" w:color="auto"/>
        <w:right w:val="none" w:sz="0" w:space="0" w:color="auto"/>
      </w:divBdr>
    </w:div>
    <w:div w:id="1519081533">
      <w:bodyDiv w:val="1"/>
      <w:marLeft w:val="0"/>
      <w:marRight w:val="0"/>
      <w:marTop w:val="0"/>
      <w:marBottom w:val="0"/>
      <w:divBdr>
        <w:top w:val="none" w:sz="0" w:space="0" w:color="auto"/>
        <w:left w:val="none" w:sz="0" w:space="0" w:color="auto"/>
        <w:bottom w:val="none" w:sz="0" w:space="0" w:color="auto"/>
        <w:right w:val="none" w:sz="0" w:space="0" w:color="auto"/>
      </w:divBdr>
    </w:div>
    <w:div w:id="1900899829">
      <w:bodyDiv w:val="1"/>
      <w:marLeft w:val="0"/>
      <w:marRight w:val="0"/>
      <w:marTop w:val="0"/>
      <w:marBottom w:val="0"/>
      <w:divBdr>
        <w:top w:val="none" w:sz="0" w:space="0" w:color="auto"/>
        <w:left w:val="none" w:sz="0" w:space="0" w:color="auto"/>
        <w:bottom w:val="none" w:sz="0" w:space="0" w:color="auto"/>
        <w:right w:val="none" w:sz="0" w:space="0" w:color="auto"/>
      </w:divBdr>
    </w:div>
    <w:div w:id="1907302899">
      <w:bodyDiv w:val="1"/>
      <w:marLeft w:val="0"/>
      <w:marRight w:val="0"/>
      <w:marTop w:val="0"/>
      <w:marBottom w:val="0"/>
      <w:divBdr>
        <w:top w:val="none" w:sz="0" w:space="0" w:color="auto"/>
        <w:left w:val="none" w:sz="0" w:space="0" w:color="auto"/>
        <w:bottom w:val="none" w:sz="0" w:space="0" w:color="auto"/>
        <w:right w:val="none" w:sz="0" w:space="0" w:color="auto"/>
      </w:divBdr>
    </w:div>
    <w:div w:id="202840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751</Words>
  <Characters>4057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3</cp:revision>
  <cp:lastPrinted>2025-02-10T12:14:00Z</cp:lastPrinted>
  <dcterms:created xsi:type="dcterms:W3CDTF">2025-12-23T15:07:00Z</dcterms:created>
  <dcterms:modified xsi:type="dcterms:W3CDTF">2025-12-23T15:08:00Z</dcterms:modified>
</cp:coreProperties>
</file>