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32D557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43FE7">
        <w:rPr>
          <w:rFonts w:ascii="Arial" w:hAnsi="Arial" w:cs="Arial"/>
          <w:sz w:val="28"/>
          <w:szCs w:val="28"/>
        </w:rPr>
        <w:t>6</w:t>
      </w:r>
      <w:r w:rsidR="00197FCA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707BBE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3FE7">
        <w:rPr>
          <w:rFonts w:ascii="Arial" w:hAnsi="Arial" w:cs="Arial"/>
          <w:sz w:val="28"/>
          <w:szCs w:val="28"/>
        </w:rPr>
        <w:t>6</w:t>
      </w:r>
      <w:r w:rsidR="00197FCA">
        <w:rPr>
          <w:rFonts w:ascii="Arial" w:hAnsi="Arial" w:cs="Arial"/>
          <w:sz w:val="28"/>
          <w:szCs w:val="28"/>
        </w:rPr>
        <w:t>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197FCA">
        <w:rPr>
          <w:rFonts w:ascii="Arial" w:hAnsi="Arial" w:cs="Arial"/>
          <w:sz w:val="28"/>
          <w:szCs w:val="28"/>
        </w:rPr>
        <w:t>30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97FCA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4F7E2B3A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97FCA">
        <w:rPr>
          <w:rFonts w:ascii="Arial" w:hAnsi="Arial" w:cs="Arial"/>
          <w:bCs/>
          <w:sz w:val="28"/>
          <w:szCs w:val="28"/>
        </w:rPr>
        <w:t>E</w:t>
      </w:r>
      <w:r w:rsidR="00197FCA" w:rsidRPr="00197FCA">
        <w:rPr>
          <w:rFonts w:ascii="Arial" w:hAnsi="Arial" w:cs="Arial"/>
          <w:bCs/>
          <w:sz w:val="28"/>
          <w:szCs w:val="28"/>
        </w:rPr>
        <w:t>stabelecer, em cumprimento ao art. 165, § 2º, da Constituição Federal, à Lei Complementar nº 101/2000 (Lei de Responsabilidade Fiscal – LRF), e à Lei Orgânica Municipal, as metas e diretrizes para elaboração e execução da Lei Orçamentária Anual (LOA) do exercício seguinte.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F8313C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8134B2">
        <w:rPr>
          <w:rFonts w:ascii="Arial" w:hAnsi="Arial" w:cs="Arial"/>
          <w:b/>
          <w:bCs/>
          <w:sz w:val="28"/>
          <w:szCs w:val="28"/>
        </w:rPr>
        <w:t xml:space="preserve"> </w:t>
      </w:r>
      <w:r w:rsidR="008134B2" w:rsidRPr="008134B2">
        <w:rPr>
          <w:rFonts w:ascii="Arial" w:hAnsi="Arial" w:cs="Arial"/>
          <w:sz w:val="28"/>
          <w:szCs w:val="28"/>
        </w:rPr>
        <w:t>Lucas Justin Vieira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2B610E5B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197FCA">
        <w:rPr>
          <w:rFonts w:ascii="Times New Roman" w:hAnsi="Times New Roman" w:cs="Times New Roman"/>
          <w:i/>
          <w:iCs/>
          <w:sz w:val="28"/>
          <w:szCs w:val="28"/>
        </w:rPr>
        <w:t>Dispõe sobre as diretrizes Orçamentárias para o Exercício Financeiro de 2026.</w:t>
      </w:r>
      <w:r w:rsidR="00443FE7" w:rsidRPr="00443FE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45A71" w:rsidRPr="00445A71">
        <w:rPr>
          <w:rFonts w:ascii="Times New Roman" w:hAnsi="Times New Roman" w:cs="Times New Roman"/>
          <w:i/>
          <w:iCs/>
          <w:sz w:val="28"/>
          <w:szCs w:val="28"/>
        </w:rPr>
        <w:t xml:space="preserve">         </w:t>
      </w:r>
      <w:r w:rsidR="00797B07" w:rsidRPr="00797B0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B096012" w14:textId="658D94F3" w:rsidR="00445A71" w:rsidRDefault="00116E4D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197FCA">
        <w:rPr>
          <w:rFonts w:ascii="Arial" w:hAnsi="Arial" w:cs="Arial"/>
          <w:sz w:val="28"/>
          <w:szCs w:val="28"/>
        </w:rPr>
        <w:t>62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197FCA">
        <w:rPr>
          <w:rFonts w:ascii="Arial" w:hAnsi="Arial" w:cs="Arial"/>
          <w:sz w:val="28"/>
          <w:szCs w:val="28"/>
        </w:rPr>
        <w:t>30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197FCA">
        <w:rPr>
          <w:rFonts w:ascii="Arial" w:hAnsi="Arial" w:cs="Arial"/>
          <w:sz w:val="28"/>
          <w:szCs w:val="28"/>
        </w:rPr>
        <w:t>setembro</w:t>
      </w:r>
      <w:r w:rsidRPr="00116E4D">
        <w:rPr>
          <w:rFonts w:ascii="Arial" w:hAnsi="Arial" w:cs="Arial"/>
          <w:sz w:val="28"/>
          <w:szCs w:val="28"/>
        </w:rPr>
        <w:t xml:space="preserve"> de 2025, tem por finalidade </w:t>
      </w:r>
      <w:r w:rsidR="00197FCA" w:rsidRPr="00197FCA">
        <w:rPr>
          <w:rFonts w:ascii="Arial" w:hAnsi="Arial" w:cs="Arial"/>
          <w:sz w:val="28"/>
          <w:szCs w:val="28"/>
        </w:rPr>
        <w:t>estabelecer, em cumprimento ao art. 165, § 2º, da Constituição Federal, à Lei Complementar nº 101/2000 (Lei de Responsabilidade Fiscal – LRF), e à Lei Orgânica Municipal, as metas e diretrizes para elaboração e execução da Lei Orçamentária Anual (LOA) do exercício seguinte.</w:t>
      </w:r>
    </w:p>
    <w:p w14:paraId="62F3B2DE" w14:textId="77777777" w:rsidR="00445A71" w:rsidRDefault="00445A7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481A13" w14:textId="3B1B4CEC" w:rsidR="00B101FB" w:rsidRDefault="00B101FB" w:rsidP="00197FC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1766FE56" w14:textId="77777777" w:rsidR="00197FCA" w:rsidRP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A iniciativa para a apresentação do projeto de Lei de Diretrizes Orçamentárias é privativa do Chefe do Poder Executivo, conforme art. 165, II, da Constituição Federal e dispositivos correlatos da Lei Orgânica Municipal. A matéria insere-se no processo legislativo orçamentário, que compreende o Plano Plurianual (PPA), a LDO e a LOA.</w:t>
      </w:r>
    </w:p>
    <w:p w14:paraId="78757995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537F7B1" w14:textId="36BFD5AF" w:rsidR="00197FCA" w:rsidRP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Logo, o projeto é de iniciativa legítima, atendendo à competência constitucional e orgânica do Executivo municipal.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31E8E80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O projeto segue a estrutura exigida pela Constituição Federal (art. 165, § 2º), pela Lei de Responsabilidade Fiscal (arts. 4º e seguintes da LC nº 101/2000) e pela Lei Federal nº 4.320/1964.</w:t>
      </w:r>
    </w:p>
    <w:p w14:paraId="22F55B09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BDDED8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Observa-se, em especial</w:t>
      </w:r>
      <w:r>
        <w:rPr>
          <w:rFonts w:ascii="Arial" w:hAnsi="Arial" w:cs="Arial"/>
          <w:sz w:val="28"/>
          <w:szCs w:val="28"/>
        </w:rPr>
        <w:t xml:space="preserve">, </w:t>
      </w:r>
      <w:r w:rsidRPr="00197FCA">
        <w:rPr>
          <w:rFonts w:ascii="Arial" w:hAnsi="Arial" w:cs="Arial"/>
          <w:sz w:val="28"/>
          <w:szCs w:val="28"/>
        </w:rPr>
        <w:t>previsão de anexos de metas e riscos fiscais (art. 4º, §§ 1º a 3º, da LRF);</w:t>
      </w:r>
      <w:r>
        <w:rPr>
          <w:rFonts w:ascii="Arial" w:hAnsi="Arial" w:cs="Arial"/>
          <w:sz w:val="28"/>
          <w:szCs w:val="28"/>
        </w:rPr>
        <w:t xml:space="preserve"> </w:t>
      </w:r>
      <w:r w:rsidRPr="00197FCA">
        <w:rPr>
          <w:rFonts w:ascii="Arial" w:hAnsi="Arial" w:cs="Arial"/>
          <w:sz w:val="28"/>
          <w:szCs w:val="28"/>
        </w:rPr>
        <w:t>inclusão de regras sobre pessoal, dívida, receitas e alterações tributárias;</w:t>
      </w:r>
      <w:r>
        <w:rPr>
          <w:rFonts w:ascii="Arial" w:hAnsi="Arial" w:cs="Arial"/>
          <w:sz w:val="28"/>
          <w:szCs w:val="28"/>
        </w:rPr>
        <w:t xml:space="preserve"> </w:t>
      </w:r>
      <w:r w:rsidRPr="00197FCA">
        <w:rPr>
          <w:rFonts w:ascii="Arial" w:hAnsi="Arial" w:cs="Arial"/>
          <w:sz w:val="28"/>
          <w:szCs w:val="28"/>
        </w:rPr>
        <w:t>definição de diretrizes para elaboração e execução do orçamento (arts. 5º a 10 do PL);</w:t>
      </w:r>
      <w:r>
        <w:rPr>
          <w:rFonts w:ascii="Arial" w:hAnsi="Arial" w:cs="Arial"/>
          <w:sz w:val="28"/>
          <w:szCs w:val="28"/>
        </w:rPr>
        <w:t xml:space="preserve"> e </w:t>
      </w:r>
      <w:r w:rsidRPr="00197FCA">
        <w:rPr>
          <w:rFonts w:ascii="Arial" w:hAnsi="Arial" w:cs="Arial"/>
          <w:sz w:val="28"/>
          <w:szCs w:val="28"/>
        </w:rPr>
        <w:t>observância dos limites constitucionais e legais quanto às despesas de pessoal (arts. 52 a 56 do PL e art. 20 da LRF).</w:t>
      </w:r>
    </w:p>
    <w:p w14:paraId="4103BA15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1AA6941" w14:textId="4DB93B79" w:rsidR="00E27FE0" w:rsidRPr="00E27FE0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Não há vício de forma, tampouco afronta à Lei Orgânica ou às normas gerais de direito financeiro.</w:t>
      </w:r>
    </w:p>
    <w:p w14:paraId="192BC05D" w14:textId="77777777" w:rsidR="00197FCA" w:rsidRP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lastRenderedPageBreak/>
        <w:t>A proposta está em conformidade com os princípios da legalidade, publicidade, eficiência e equilíbrio fiscal, consagrados nos arts. 37 e 167 da Constituição Federal e na LRF.</w:t>
      </w:r>
      <w:r w:rsidRPr="00197FCA">
        <w:rPr>
          <w:rFonts w:ascii="Arial" w:hAnsi="Arial" w:cs="Arial"/>
          <w:sz w:val="28"/>
          <w:szCs w:val="28"/>
        </w:rPr>
        <w:br/>
        <w:t>Também respeita o princípio da transparência, determinando a realização de audiências públicas (art. 12 do PL), conforme exigência do art. 48 da LRF.</w:t>
      </w:r>
    </w:p>
    <w:p w14:paraId="5BB839C1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E7F6EA7" w14:textId="562B71C3" w:rsidR="00197FCA" w:rsidRP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Não há previsão de medidas que violem o princípio da separação dos poderes ou que impliquem delegação indevida de competência legislativa. As disposições sobre a execução provisória (art. 31), abertura de créditos adicionais (art. 26 e seguintes) e execução das emendas parlamentares (arts. 33 a 37) estão alinhadas com o art. 166 da CF.</w:t>
      </w:r>
    </w:p>
    <w:p w14:paraId="61E3F4D6" w14:textId="77777777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EB5EFF7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O projeto estabelece que a execução orçamentária deverá obedecer ao cronograma financeiro definido por decreto (art. 19), bem como ao acompanhamento quadrimestral de metas (art. 25), ambos compatíveis com o art. 9º da LRF.</w:t>
      </w:r>
    </w:p>
    <w:p w14:paraId="3952D471" w14:textId="77777777" w:rsidR="00197FCA" w:rsidRP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C3ACAD" w14:textId="77777777" w:rsid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t>As regras sobre limitação de empenho (art. 20) e execução de emendas parlamentares (arts. 33 a 36) estão adequadamente estruturadas e demonstram compromisso com a responsabilidade fiscal e com a previsibilidade da execução orçamentária.</w:t>
      </w:r>
    </w:p>
    <w:p w14:paraId="35C9F22A" w14:textId="77777777" w:rsidR="00197FCA" w:rsidRPr="00197FCA" w:rsidRDefault="00197FCA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AD19DC1" w14:textId="584E5E18" w:rsidR="00197FCA" w:rsidRPr="00197FCA" w:rsidRDefault="00197FCA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97FCA">
        <w:rPr>
          <w:rFonts w:ascii="Arial" w:hAnsi="Arial" w:cs="Arial"/>
          <w:sz w:val="28"/>
          <w:szCs w:val="28"/>
        </w:rPr>
        <w:lastRenderedPageBreak/>
        <w:t>A metodologia de cálculo e os parâmetros citados seguem as Instruções Normativas nº 13/2022 e nº 18/2023 do Tribunal de Contas do Estado do Rio Grande do Sul, o que reforça a adequação às exigências do controle externo.</w:t>
      </w:r>
    </w:p>
    <w:p w14:paraId="2826B5FE" w14:textId="77777777" w:rsidR="00197FCA" w:rsidRDefault="00197FCA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65991227" w:rsidR="00E27FE0" w:rsidRPr="00E27FE0" w:rsidRDefault="00B101FB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</w:t>
      </w:r>
      <w:r w:rsidR="00197FCA">
        <w:rPr>
          <w:rFonts w:ascii="Arial" w:hAnsi="Arial" w:cs="Arial"/>
          <w:sz w:val="28"/>
          <w:szCs w:val="28"/>
        </w:rPr>
        <w:t>62</w:t>
      </w:r>
      <w:r w:rsidR="00E27FE0" w:rsidRPr="00E27FE0">
        <w:rPr>
          <w:rFonts w:ascii="Arial" w:hAnsi="Arial" w:cs="Arial"/>
          <w:sz w:val="28"/>
          <w:szCs w:val="28"/>
        </w:rPr>
        <w:t xml:space="preserve">/2025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saúde.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5D4A106" w14:textId="77777777" w:rsidR="00197FCA" w:rsidRDefault="00197FCA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55EF161" w14:textId="77777777" w:rsidR="00197FCA" w:rsidRDefault="00197FCA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742A920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9535747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A48D0D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4E217C70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5852AC">
        <w:rPr>
          <w:rFonts w:ascii="Arial" w:hAnsi="Arial" w:cs="Arial"/>
          <w:sz w:val="28"/>
          <w:szCs w:val="28"/>
        </w:rPr>
        <w:t>10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443FE7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CE9A8" w14:textId="77777777" w:rsidR="00C6060B" w:rsidRDefault="00C6060B" w:rsidP="002A69D2">
      <w:pPr>
        <w:spacing w:after="0" w:line="240" w:lineRule="auto"/>
      </w:pPr>
      <w:r>
        <w:separator/>
      </w:r>
    </w:p>
  </w:endnote>
  <w:endnote w:type="continuationSeparator" w:id="0">
    <w:p w14:paraId="45E7F21E" w14:textId="77777777" w:rsidR="00C6060B" w:rsidRDefault="00C6060B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CF6CC" w14:textId="77777777" w:rsidR="00C6060B" w:rsidRDefault="00C6060B" w:rsidP="002A69D2">
      <w:pPr>
        <w:spacing w:after="0" w:line="240" w:lineRule="auto"/>
      </w:pPr>
      <w:r>
        <w:separator/>
      </w:r>
    </w:p>
  </w:footnote>
  <w:footnote w:type="continuationSeparator" w:id="0">
    <w:p w14:paraId="083ACFD7" w14:textId="77777777" w:rsidR="00C6060B" w:rsidRDefault="00C6060B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D34AD"/>
    <w:multiLevelType w:val="multilevel"/>
    <w:tmpl w:val="11904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1"/>
  </w:num>
  <w:num w:numId="2" w16cid:durableId="132600685">
    <w:abstractNumId w:val="2"/>
  </w:num>
  <w:num w:numId="3" w16cid:durableId="1888491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90E54"/>
    <w:rsid w:val="00197FCA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2AC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0FC1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6060B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664</Words>
  <Characters>3653</Characters>
  <Application>Microsoft Office Word</Application>
  <DocSecurity>0</DocSecurity>
  <Lines>228</Lines>
  <Paragraphs>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2025-09-22T17:44:00Z</cp:lastPrinted>
  <dcterms:created xsi:type="dcterms:W3CDTF">2025-11-05T19:15:00Z</dcterms:created>
  <dcterms:modified xsi:type="dcterms:W3CDTF">2025-11-05T19:23:00Z</dcterms:modified>
</cp:coreProperties>
</file>