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A77745E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F13B0E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F13B0E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4963DB6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907A93">
        <w:rPr>
          <w:rFonts w:ascii="Arial" w:hAnsi="Arial" w:cs="Arial"/>
          <w:sz w:val="28"/>
          <w:szCs w:val="28"/>
        </w:rPr>
        <w:t>6</w:t>
      </w:r>
      <w:r w:rsidR="00F13B0E">
        <w:rPr>
          <w:rFonts w:ascii="Arial" w:hAnsi="Arial" w:cs="Arial"/>
          <w:sz w:val="28"/>
          <w:szCs w:val="28"/>
        </w:rPr>
        <w:t>2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D4B786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F13B0E">
        <w:rPr>
          <w:rFonts w:ascii="Arial" w:hAnsi="Arial" w:cs="Arial"/>
          <w:sz w:val="28"/>
          <w:szCs w:val="28"/>
        </w:rPr>
        <w:t>60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907A93">
        <w:rPr>
          <w:rFonts w:ascii="Arial" w:hAnsi="Arial" w:cs="Arial"/>
          <w:sz w:val="28"/>
          <w:szCs w:val="28"/>
        </w:rPr>
        <w:t>26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907A93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22586065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907A93">
        <w:rPr>
          <w:rFonts w:ascii="Arial" w:hAnsi="Arial" w:cs="Arial"/>
          <w:sz w:val="28"/>
          <w:szCs w:val="28"/>
        </w:rPr>
        <w:t xml:space="preserve">Incentivo Econômico </w:t>
      </w:r>
      <w:r w:rsidR="00F13B0E">
        <w:rPr>
          <w:rFonts w:ascii="Arial" w:hAnsi="Arial" w:cs="Arial"/>
          <w:sz w:val="28"/>
          <w:szCs w:val="28"/>
        </w:rPr>
        <w:t xml:space="preserve">a COMAFITT </w:t>
      </w:r>
      <w:r w:rsidR="00907A93">
        <w:rPr>
          <w:rFonts w:ascii="Arial" w:hAnsi="Arial" w:cs="Arial"/>
          <w:sz w:val="28"/>
          <w:szCs w:val="28"/>
        </w:rPr>
        <w:t xml:space="preserve">com base na </w:t>
      </w:r>
      <w:r w:rsidR="00907A93" w:rsidRPr="00907A93">
        <w:rPr>
          <w:rFonts w:ascii="Arial" w:hAnsi="Arial" w:cs="Arial"/>
          <w:bCs/>
          <w:sz w:val="28"/>
          <w:szCs w:val="28"/>
        </w:rPr>
        <w:t>Lei Municipal nº 2.378/2018.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2F765911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</w:t>
      </w:r>
      <w:r w:rsidR="005B6AB3">
        <w:rPr>
          <w:rFonts w:ascii="Arial" w:hAnsi="Arial" w:cs="Arial"/>
          <w:sz w:val="28"/>
          <w:szCs w:val="28"/>
        </w:rPr>
        <w:t>Lucimara da Silva</w:t>
      </w:r>
      <w:r w:rsidR="005B6AB3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186D0820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F13B0E" w:rsidRPr="00F13B0E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 xml:space="preserve">Autoriza o poder executivo a conceder incentivo à empresa Cooperativa Mista de Agricultores Familiares de </w:t>
      </w:r>
      <w:proofErr w:type="spellStart"/>
      <w:r w:rsidR="00F13B0E" w:rsidRPr="00F13B0E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Itati</w:t>
      </w:r>
      <w:proofErr w:type="spellEnd"/>
      <w:r w:rsidR="00F13B0E" w:rsidRPr="00F13B0E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, Terra de Areia e Três Forquilhas - COOMAFITT, e dá outras providências.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53E0345A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2457EA">
        <w:rPr>
          <w:rFonts w:ascii="Arial" w:hAnsi="Arial" w:cs="Arial"/>
          <w:sz w:val="28"/>
          <w:szCs w:val="28"/>
        </w:rPr>
        <w:t>26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2457EA"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 xml:space="preserve">“autorização para </w:t>
      </w:r>
      <w:r w:rsidR="001E1492">
        <w:rPr>
          <w:rFonts w:ascii="Arial" w:hAnsi="Arial" w:cs="Arial"/>
          <w:sz w:val="28"/>
          <w:szCs w:val="28"/>
        </w:rPr>
        <w:t xml:space="preserve">o executivo municipal </w:t>
      </w:r>
      <w:r w:rsidR="002457EA">
        <w:rPr>
          <w:rFonts w:ascii="Arial" w:hAnsi="Arial" w:cs="Arial"/>
          <w:sz w:val="28"/>
          <w:szCs w:val="28"/>
        </w:rPr>
        <w:t>conceder</w:t>
      </w:r>
      <w:r w:rsidR="002457EA" w:rsidRPr="002457EA">
        <w:rPr>
          <w:rFonts w:ascii="Arial" w:hAnsi="Arial" w:cs="Arial"/>
          <w:sz w:val="28"/>
          <w:szCs w:val="28"/>
        </w:rPr>
        <w:t xml:space="preserve"> incentivo</w:t>
      </w:r>
      <w:r w:rsidR="002457EA">
        <w:rPr>
          <w:rFonts w:ascii="Arial" w:hAnsi="Arial" w:cs="Arial"/>
          <w:sz w:val="28"/>
          <w:szCs w:val="28"/>
        </w:rPr>
        <w:t xml:space="preserve"> econômico</w:t>
      </w:r>
      <w:r w:rsidR="002457EA" w:rsidRPr="002457EA">
        <w:rPr>
          <w:rFonts w:ascii="Arial" w:hAnsi="Arial" w:cs="Arial"/>
          <w:sz w:val="28"/>
          <w:szCs w:val="28"/>
        </w:rPr>
        <w:t xml:space="preserve"> à </w:t>
      </w:r>
      <w:r w:rsidR="005B6AB3" w:rsidRPr="005B6AB3">
        <w:rPr>
          <w:rFonts w:ascii="Arial" w:hAnsi="Arial" w:cs="Arial"/>
          <w:sz w:val="28"/>
          <w:szCs w:val="28"/>
        </w:rPr>
        <w:t xml:space="preserve">Cooperativa Mista de Agricultores Familiares de </w:t>
      </w:r>
      <w:proofErr w:type="spellStart"/>
      <w:r w:rsidR="005B6AB3" w:rsidRPr="005B6AB3">
        <w:rPr>
          <w:rFonts w:ascii="Arial" w:hAnsi="Arial" w:cs="Arial"/>
          <w:sz w:val="28"/>
          <w:szCs w:val="28"/>
        </w:rPr>
        <w:t>Itati</w:t>
      </w:r>
      <w:proofErr w:type="spellEnd"/>
      <w:r w:rsidR="005B6AB3" w:rsidRPr="005B6AB3">
        <w:rPr>
          <w:rFonts w:ascii="Arial" w:hAnsi="Arial" w:cs="Arial"/>
          <w:sz w:val="28"/>
          <w:szCs w:val="28"/>
        </w:rPr>
        <w:t>, Terra de Areia e Três Forquilhas - COOMAFITT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46DA84" w14:textId="73CA6C04" w:rsidR="005B6AB3" w:rsidRP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5B6AB3">
        <w:rPr>
          <w:rFonts w:ascii="Arial" w:hAnsi="Arial" w:cs="Arial"/>
          <w:sz w:val="28"/>
          <w:szCs w:val="28"/>
        </w:rPr>
        <w:lastRenderedPageBreak/>
        <w:t xml:space="preserve">O Projeto de Lei nº 60/2025, de iniciativa do Poder Executivo Municipal, autoriza a concessão de incentivo à Cooperativa Mista de Agricultores Familiares de </w:t>
      </w:r>
      <w:proofErr w:type="spellStart"/>
      <w:r w:rsidRPr="005B6AB3">
        <w:rPr>
          <w:rFonts w:ascii="Arial" w:hAnsi="Arial" w:cs="Arial"/>
          <w:sz w:val="28"/>
          <w:szCs w:val="28"/>
        </w:rPr>
        <w:t>Itati</w:t>
      </w:r>
      <w:proofErr w:type="spellEnd"/>
      <w:r w:rsidRPr="005B6AB3">
        <w:rPr>
          <w:rFonts w:ascii="Arial" w:hAnsi="Arial" w:cs="Arial"/>
          <w:sz w:val="28"/>
          <w:szCs w:val="28"/>
        </w:rPr>
        <w:t>, Terra de Areia e Três Forquilhas – COOMAFITT, sob duas formas principais:</w:t>
      </w:r>
      <w:r w:rsidRPr="005B6AB3">
        <w:rPr>
          <w:rFonts w:ascii="Arial" w:hAnsi="Arial" w:cs="Arial"/>
          <w:sz w:val="28"/>
          <w:szCs w:val="28"/>
        </w:rPr>
        <w:t xml:space="preserve"> </w:t>
      </w:r>
      <w:r w:rsidRPr="005B6AB3">
        <w:rPr>
          <w:rFonts w:ascii="Arial" w:hAnsi="Arial" w:cs="Arial"/>
          <w:b/>
          <w:bCs/>
          <w:sz w:val="28"/>
          <w:szCs w:val="28"/>
        </w:rPr>
        <w:t>a)</w:t>
      </w:r>
      <w:r w:rsidRPr="005B6AB3">
        <w:rPr>
          <w:rFonts w:ascii="Arial" w:hAnsi="Arial" w:cs="Arial"/>
          <w:sz w:val="28"/>
          <w:szCs w:val="28"/>
        </w:rPr>
        <w:t xml:space="preserve"> </w:t>
      </w:r>
      <w:r w:rsidRPr="005B6AB3">
        <w:rPr>
          <w:rFonts w:ascii="Arial" w:hAnsi="Arial" w:cs="Arial"/>
          <w:sz w:val="28"/>
          <w:szCs w:val="28"/>
        </w:rPr>
        <w:t>Cessão de uso de terreno público com área de 14.000m², localizado na Estrada Canto da Coruja, Bairro Linha Souza, de propriedade do Município, pelo prazo de seis anos, prorrogável por igual período;</w:t>
      </w:r>
      <w:r w:rsidRPr="005B6AB3">
        <w:rPr>
          <w:rFonts w:ascii="Arial" w:hAnsi="Arial" w:cs="Arial"/>
          <w:sz w:val="28"/>
          <w:szCs w:val="28"/>
        </w:rPr>
        <w:t xml:space="preserve"> </w:t>
      </w:r>
      <w:r w:rsidRPr="005B6AB3">
        <w:rPr>
          <w:rFonts w:ascii="Arial" w:hAnsi="Arial" w:cs="Arial"/>
          <w:b/>
          <w:bCs/>
          <w:sz w:val="28"/>
          <w:szCs w:val="28"/>
        </w:rPr>
        <w:t>b)</w:t>
      </w:r>
      <w:r w:rsidRPr="005B6AB3">
        <w:rPr>
          <w:rFonts w:ascii="Arial" w:hAnsi="Arial" w:cs="Arial"/>
          <w:sz w:val="28"/>
          <w:szCs w:val="28"/>
        </w:rPr>
        <w:t xml:space="preserve"> </w:t>
      </w:r>
      <w:r w:rsidRPr="005B6AB3">
        <w:rPr>
          <w:rFonts w:ascii="Arial" w:hAnsi="Arial" w:cs="Arial"/>
          <w:sz w:val="28"/>
          <w:szCs w:val="28"/>
        </w:rPr>
        <w:t>Isenção de IPTU</w:t>
      </w:r>
      <w:r w:rsidRPr="005B6AB3">
        <w:rPr>
          <w:rFonts w:ascii="Arial" w:hAnsi="Arial" w:cs="Arial"/>
          <w:sz w:val="28"/>
          <w:szCs w:val="28"/>
        </w:rPr>
        <w:t>.</w:t>
      </w:r>
    </w:p>
    <w:p w14:paraId="27F11796" w14:textId="77777777" w:rsidR="005B6AB3" w:rsidRPr="002457EA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722AD3B" w14:textId="77777777" w:rsidR="005B6AB3" w:rsidRPr="002457EA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>A proposta foi encaminhada com fundamento na Lei Municipal nº 2.378/2018, que dispõe sobre a política de incentivo econômico e social do Município.</w:t>
      </w:r>
    </w:p>
    <w:p w14:paraId="385CA52C" w14:textId="77777777" w:rsid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53962AC" w14:textId="77777777" w:rsid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</w:t>
      </w:r>
      <w:r w:rsidRPr="002457EA">
        <w:rPr>
          <w:rFonts w:ascii="Arial" w:hAnsi="Arial" w:cs="Arial"/>
          <w:sz w:val="28"/>
          <w:szCs w:val="28"/>
        </w:rPr>
        <w:t xml:space="preserve">O projeto atende aos princípios constitucionais da </w:t>
      </w:r>
      <w:r w:rsidRPr="002457EA">
        <w:rPr>
          <w:rFonts w:ascii="Arial" w:hAnsi="Arial" w:cs="Arial"/>
          <w:b/>
          <w:bCs/>
          <w:sz w:val="28"/>
          <w:szCs w:val="28"/>
        </w:rPr>
        <w:t>legalidade, impessoalidade, moralidade e publicidade (art. 37 da CF)</w:t>
      </w:r>
      <w:r w:rsidRPr="002457EA">
        <w:rPr>
          <w:rFonts w:ascii="Arial" w:hAnsi="Arial" w:cs="Arial"/>
          <w:sz w:val="28"/>
          <w:szCs w:val="28"/>
        </w:rPr>
        <w:t xml:space="preserve">, bem como ao </w:t>
      </w:r>
      <w:r w:rsidRPr="002457EA">
        <w:rPr>
          <w:rFonts w:ascii="Arial" w:hAnsi="Arial" w:cs="Arial"/>
          <w:b/>
          <w:bCs/>
          <w:sz w:val="28"/>
          <w:szCs w:val="28"/>
        </w:rPr>
        <w:t>princípio da livre iniciativa e do desenvolvimento econômico local (</w:t>
      </w:r>
      <w:proofErr w:type="spellStart"/>
      <w:r w:rsidRPr="002457EA">
        <w:rPr>
          <w:rFonts w:ascii="Arial" w:hAnsi="Arial" w:cs="Arial"/>
          <w:b/>
          <w:bCs/>
          <w:sz w:val="28"/>
          <w:szCs w:val="28"/>
        </w:rPr>
        <w:t>arts</w:t>
      </w:r>
      <w:proofErr w:type="spellEnd"/>
      <w:r w:rsidRPr="002457EA">
        <w:rPr>
          <w:rFonts w:ascii="Arial" w:hAnsi="Arial" w:cs="Arial"/>
          <w:b/>
          <w:bCs/>
          <w:sz w:val="28"/>
          <w:szCs w:val="28"/>
        </w:rPr>
        <w:t>. 1º, IV, e 170 da CF)</w:t>
      </w:r>
      <w:r w:rsidRPr="002457EA">
        <w:rPr>
          <w:rFonts w:ascii="Arial" w:hAnsi="Arial" w:cs="Arial"/>
          <w:sz w:val="28"/>
          <w:szCs w:val="28"/>
        </w:rPr>
        <w:t>.</w:t>
      </w:r>
    </w:p>
    <w:p w14:paraId="158B4A96" w14:textId="77777777" w:rsidR="005B6AB3" w:rsidRPr="002457EA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B917C3" w14:textId="77777777" w:rsidR="005B6AB3" w:rsidRPr="002457EA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 xml:space="preserve">A concessão de incentivos públicos para geração de empregos e renda é compatível com o </w:t>
      </w:r>
      <w:r w:rsidRPr="002457EA">
        <w:rPr>
          <w:rFonts w:ascii="Arial" w:hAnsi="Arial" w:cs="Arial"/>
          <w:b/>
          <w:bCs/>
          <w:sz w:val="28"/>
          <w:szCs w:val="28"/>
        </w:rPr>
        <w:t>art. 30, I e II, da CF</w:t>
      </w:r>
      <w:r w:rsidRPr="002457EA">
        <w:rPr>
          <w:rFonts w:ascii="Arial" w:hAnsi="Arial" w:cs="Arial"/>
          <w:sz w:val="28"/>
          <w:szCs w:val="28"/>
        </w:rPr>
        <w:t>, que atribui aos Municípios competência para legislar sobre assuntos de interesse local e para promover o adequado ordenamento econômico e social.</w:t>
      </w:r>
    </w:p>
    <w:p w14:paraId="26D16151" w14:textId="77777777" w:rsidR="005B6AB3" w:rsidRPr="002457EA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 xml:space="preserve">Ressalta-se ainda que o incentivo não configura privilégio indevido, pois está condicionado a contrapartidas objetivas, </w:t>
      </w:r>
      <w:r w:rsidRPr="002457EA">
        <w:rPr>
          <w:rFonts w:ascii="Arial" w:hAnsi="Arial" w:cs="Arial"/>
          <w:sz w:val="28"/>
          <w:szCs w:val="28"/>
        </w:rPr>
        <w:lastRenderedPageBreak/>
        <w:t xml:space="preserve">à comprovação de interesse público e à observância das regras do Conselho Municipal de Desenvolvimento Econômico, conforme os </w:t>
      </w:r>
      <w:proofErr w:type="spellStart"/>
      <w:r w:rsidRPr="002457EA">
        <w:rPr>
          <w:rFonts w:ascii="Arial" w:hAnsi="Arial" w:cs="Arial"/>
          <w:sz w:val="28"/>
          <w:szCs w:val="28"/>
        </w:rPr>
        <w:t>arts</w:t>
      </w:r>
      <w:proofErr w:type="spellEnd"/>
      <w:r w:rsidRPr="002457EA">
        <w:rPr>
          <w:rFonts w:ascii="Arial" w:hAnsi="Arial" w:cs="Arial"/>
          <w:sz w:val="28"/>
          <w:szCs w:val="28"/>
        </w:rPr>
        <w:t>. 2º, 4º e 24 da Lei nº 2.378/2018.</w:t>
      </w:r>
    </w:p>
    <w:p w14:paraId="498F3339" w14:textId="77777777" w:rsid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021A643" w14:textId="77777777" w:rsid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5AE6F72" w14:textId="77777777" w:rsid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5ACE089" w14:textId="05F43C00" w:rsid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>Portanto, não se identificam vícios de inconstitucionalidade formal ou material</w:t>
      </w:r>
      <w:r>
        <w:rPr>
          <w:rFonts w:ascii="Arial" w:hAnsi="Arial" w:cs="Arial"/>
          <w:sz w:val="28"/>
          <w:szCs w:val="28"/>
        </w:rPr>
        <w:t>, uma vez que a</w:t>
      </w:r>
      <w:r w:rsidRPr="002457EA">
        <w:rPr>
          <w:rFonts w:ascii="Arial" w:hAnsi="Arial" w:cs="Arial"/>
          <w:sz w:val="28"/>
          <w:szCs w:val="28"/>
        </w:rPr>
        <w:t xml:space="preserve"> concessão de incentivos econômicos, conforme o art. 16, §1º, da Lei nº 2.378/2018, depende de lei autorizativa específica, exatamente como</w:t>
      </w:r>
      <w:r>
        <w:rPr>
          <w:rFonts w:ascii="Arial" w:hAnsi="Arial" w:cs="Arial"/>
          <w:sz w:val="28"/>
          <w:szCs w:val="28"/>
        </w:rPr>
        <w:t xml:space="preserve"> </w:t>
      </w:r>
      <w:r w:rsidRPr="002457EA">
        <w:rPr>
          <w:rFonts w:ascii="Arial" w:hAnsi="Arial" w:cs="Arial"/>
          <w:sz w:val="28"/>
          <w:szCs w:val="28"/>
        </w:rPr>
        <w:t>ora se propõe.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6B4B3187" w14:textId="77777777" w:rsidR="00E63CB0" w:rsidRDefault="00E63CB0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63ED019" w14:textId="3773A9F0" w:rsidR="005B6AB3" w:rsidRP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 xml:space="preserve">Além disso, </w:t>
      </w:r>
      <w:r>
        <w:rPr>
          <w:rFonts w:ascii="Arial" w:hAnsi="Arial" w:cs="Arial"/>
          <w:sz w:val="28"/>
          <w:szCs w:val="28"/>
        </w:rPr>
        <w:t>o</w:t>
      </w:r>
      <w:r w:rsidRPr="005B6AB3">
        <w:rPr>
          <w:rFonts w:ascii="Arial" w:hAnsi="Arial" w:cs="Arial"/>
          <w:sz w:val="28"/>
          <w:szCs w:val="28"/>
        </w:rPr>
        <w:t xml:space="preserve"> projeto guarda conformidade material com a Lei Municipal nº 2.378/2018, especialmente com os </w:t>
      </w:r>
      <w:proofErr w:type="spellStart"/>
      <w:r w:rsidRPr="005B6AB3">
        <w:rPr>
          <w:rFonts w:ascii="Arial" w:hAnsi="Arial" w:cs="Arial"/>
          <w:sz w:val="28"/>
          <w:szCs w:val="28"/>
        </w:rPr>
        <w:t>arts</w:t>
      </w:r>
      <w:proofErr w:type="spellEnd"/>
      <w:r w:rsidRPr="005B6AB3">
        <w:rPr>
          <w:rFonts w:ascii="Arial" w:hAnsi="Arial" w:cs="Arial"/>
          <w:sz w:val="28"/>
          <w:szCs w:val="28"/>
        </w:rPr>
        <w:t>. 16 e 17, que preveem:</w:t>
      </w:r>
      <w:r>
        <w:rPr>
          <w:rFonts w:ascii="Arial" w:hAnsi="Arial" w:cs="Arial"/>
          <w:sz w:val="28"/>
          <w:szCs w:val="28"/>
        </w:rPr>
        <w:t xml:space="preserve"> a) </w:t>
      </w:r>
      <w:r w:rsidRPr="005B6AB3">
        <w:rPr>
          <w:rFonts w:ascii="Arial" w:hAnsi="Arial" w:cs="Arial"/>
          <w:b/>
          <w:bCs/>
          <w:sz w:val="28"/>
          <w:szCs w:val="28"/>
        </w:rPr>
        <w:t>Concessão de uso de imóveis públicos</w:t>
      </w:r>
      <w:r w:rsidRPr="005B6AB3">
        <w:rPr>
          <w:rFonts w:ascii="Arial" w:hAnsi="Arial" w:cs="Arial"/>
          <w:sz w:val="28"/>
          <w:szCs w:val="28"/>
        </w:rPr>
        <w:t xml:space="preserve"> (art. 16, I);</w:t>
      </w:r>
      <w:r>
        <w:rPr>
          <w:rFonts w:ascii="Arial" w:hAnsi="Arial" w:cs="Arial"/>
          <w:sz w:val="28"/>
          <w:szCs w:val="28"/>
        </w:rPr>
        <w:t xml:space="preserve"> b) </w:t>
      </w:r>
      <w:r w:rsidRPr="005B6AB3">
        <w:rPr>
          <w:rFonts w:ascii="Arial" w:hAnsi="Arial" w:cs="Arial"/>
          <w:b/>
          <w:bCs/>
          <w:sz w:val="28"/>
          <w:szCs w:val="28"/>
        </w:rPr>
        <w:t>Isenção de tributos municipais</w:t>
      </w:r>
      <w:r w:rsidRPr="005B6AB3">
        <w:rPr>
          <w:rFonts w:ascii="Arial" w:hAnsi="Arial" w:cs="Arial"/>
          <w:sz w:val="28"/>
          <w:szCs w:val="28"/>
        </w:rPr>
        <w:t xml:space="preserve">, inclusive </w:t>
      </w:r>
      <w:r w:rsidRPr="005B6AB3">
        <w:rPr>
          <w:rFonts w:ascii="Arial" w:hAnsi="Arial" w:cs="Arial"/>
          <w:b/>
          <w:bCs/>
          <w:sz w:val="28"/>
          <w:szCs w:val="28"/>
        </w:rPr>
        <w:t>IPTU</w:t>
      </w:r>
      <w:r w:rsidRPr="005B6AB3">
        <w:rPr>
          <w:rFonts w:ascii="Arial" w:hAnsi="Arial" w:cs="Arial"/>
          <w:sz w:val="28"/>
          <w:szCs w:val="28"/>
        </w:rPr>
        <w:t xml:space="preserve"> (art. 17, VII, a);</w:t>
      </w:r>
      <w:r>
        <w:rPr>
          <w:rFonts w:ascii="Arial" w:hAnsi="Arial" w:cs="Arial"/>
          <w:sz w:val="28"/>
          <w:szCs w:val="28"/>
        </w:rPr>
        <w:t xml:space="preserve"> c) </w:t>
      </w:r>
      <w:r w:rsidRPr="005B6AB3">
        <w:rPr>
          <w:rFonts w:ascii="Arial" w:hAnsi="Arial" w:cs="Arial"/>
          <w:b/>
          <w:bCs/>
          <w:sz w:val="28"/>
          <w:szCs w:val="28"/>
        </w:rPr>
        <w:t>Necessidade de lei autorizativa específica</w:t>
      </w:r>
      <w:r w:rsidRPr="005B6AB3">
        <w:rPr>
          <w:rFonts w:ascii="Arial" w:hAnsi="Arial" w:cs="Arial"/>
          <w:sz w:val="28"/>
          <w:szCs w:val="28"/>
        </w:rPr>
        <w:t xml:space="preserve"> para cada concessão (art. 16, §1º);</w:t>
      </w:r>
      <w:r>
        <w:rPr>
          <w:rFonts w:ascii="Arial" w:hAnsi="Arial" w:cs="Arial"/>
          <w:sz w:val="28"/>
          <w:szCs w:val="28"/>
        </w:rPr>
        <w:t xml:space="preserve"> d) </w:t>
      </w:r>
      <w:r w:rsidRPr="005B6AB3">
        <w:rPr>
          <w:rFonts w:ascii="Arial" w:hAnsi="Arial" w:cs="Arial"/>
          <w:b/>
          <w:bCs/>
          <w:sz w:val="28"/>
          <w:szCs w:val="28"/>
        </w:rPr>
        <w:t>Critérios de duração da isenção em razão da geração de empregos</w:t>
      </w:r>
      <w:r w:rsidRPr="005B6AB3">
        <w:rPr>
          <w:rFonts w:ascii="Arial" w:hAnsi="Arial" w:cs="Arial"/>
          <w:sz w:val="28"/>
          <w:szCs w:val="28"/>
        </w:rPr>
        <w:t xml:space="preserve"> (art. 17, §3º);</w:t>
      </w:r>
      <w:r>
        <w:rPr>
          <w:rFonts w:ascii="Arial" w:hAnsi="Arial" w:cs="Arial"/>
          <w:sz w:val="28"/>
          <w:szCs w:val="28"/>
        </w:rPr>
        <w:t xml:space="preserve"> e) </w:t>
      </w:r>
      <w:r w:rsidRPr="005B6AB3">
        <w:rPr>
          <w:rFonts w:ascii="Arial" w:hAnsi="Arial" w:cs="Arial"/>
          <w:b/>
          <w:bCs/>
          <w:sz w:val="28"/>
          <w:szCs w:val="28"/>
        </w:rPr>
        <w:t>Cláusulas de reversão e revogação em caso de descumprimento</w:t>
      </w:r>
      <w:r w:rsidRPr="005B6AB3">
        <w:rPr>
          <w:rFonts w:ascii="Arial" w:hAnsi="Arial" w:cs="Arial"/>
          <w:sz w:val="28"/>
          <w:szCs w:val="28"/>
        </w:rPr>
        <w:t xml:space="preserve"> (art. 17, I e §2º).</w:t>
      </w:r>
    </w:p>
    <w:p w14:paraId="7DDC6A5D" w14:textId="12C24A91" w:rsidR="005B6AB3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47D5215" w14:textId="01E066F3" w:rsidR="00E63CB0" w:rsidRDefault="00E63CB0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Ainda, o</w:t>
      </w:r>
      <w:r w:rsidRPr="00E63CB0">
        <w:rPr>
          <w:rFonts w:ascii="Arial" w:hAnsi="Arial" w:cs="Arial"/>
          <w:sz w:val="28"/>
          <w:szCs w:val="28"/>
        </w:rPr>
        <w:t xml:space="preserve"> PL cumpre tais exigências ao condicionar a manutenção do benefício à criação de 25 empregos diretos, dentro do parâmetro previsto para isenção de até cinco anos (art. 17, §3º, “c”), sendo, portanto, juridicamente possível o prazo de seis anos </w:t>
      </w:r>
      <w:r w:rsidRPr="00E63CB0">
        <w:rPr>
          <w:rFonts w:ascii="Arial" w:hAnsi="Arial" w:cs="Arial"/>
          <w:sz w:val="28"/>
          <w:szCs w:val="28"/>
        </w:rPr>
        <w:lastRenderedPageBreak/>
        <w:t>proposto, desde que justificado pela relevância do empreendimento e mediante parecer do Conselho Municipal de Desenvolvimento Econômico (</w:t>
      </w:r>
      <w:proofErr w:type="spellStart"/>
      <w:r w:rsidRPr="00E63CB0">
        <w:rPr>
          <w:rFonts w:ascii="Arial" w:hAnsi="Arial" w:cs="Arial"/>
          <w:sz w:val="28"/>
          <w:szCs w:val="28"/>
        </w:rPr>
        <w:t>arts</w:t>
      </w:r>
      <w:proofErr w:type="spellEnd"/>
      <w:r w:rsidRPr="00E63CB0">
        <w:rPr>
          <w:rFonts w:ascii="Arial" w:hAnsi="Arial" w:cs="Arial"/>
          <w:sz w:val="28"/>
          <w:szCs w:val="28"/>
        </w:rPr>
        <w:t>. 4º e 5º da Lei 2.378/2018).</w:t>
      </w:r>
    </w:p>
    <w:p w14:paraId="36B2950E" w14:textId="77777777" w:rsidR="00E63CB0" w:rsidRDefault="00E63CB0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4ECFB5E" w14:textId="4E267A6F" w:rsidR="00E63CB0" w:rsidRDefault="00E63CB0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Já quanto à c</w:t>
      </w:r>
      <w:r w:rsidRPr="00E63CB0">
        <w:rPr>
          <w:rFonts w:ascii="Arial" w:hAnsi="Arial" w:cs="Arial"/>
          <w:sz w:val="28"/>
          <w:szCs w:val="28"/>
        </w:rPr>
        <w:t xml:space="preserve">oncessão de uso de imóvel público, conforme o art. 16, I da Lei 2.378/2018, </w:t>
      </w:r>
      <w:r>
        <w:rPr>
          <w:rFonts w:ascii="Arial" w:hAnsi="Arial" w:cs="Arial"/>
          <w:sz w:val="28"/>
          <w:szCs w:val="28"/>
        </w:rPr>
        <w:t xml:space="preserve">esta </w:t>
      </w:r>
      <w:r w:rsidRPr="00E63CB0">
        <w:rPr>
          <w:rFonts w:ascii="Arial" w:hAnsi="Arial" w:cs="Arial"/>
          <w:sz w:val="28"/>
          <w:szCs w:val="28"/>
        </w:rPr>
        <w:t xml:space="preserve">possui caráter precário e condicionado ao interesse público. Deve constar em contrato administrativo ou termo de cessão com </w:t>
      </w:r>
      <w:r w:rsidRPr="00E63CB0">
        <w:rPr>
          <w:rFonts w:ascii="Arial" w:hAnsi="Arial" w:cs="Arial"/>
          <w:b/>
          <w:bCs/>
          <w:sz w:val="28"/>
          <w:szCs w:val="28"/>
        </w:rPr>
        <w:t>cláusula de reversão</w:t>
      </w:r>
      <w:r w:rsidRPr="00E63CB0">
        <w:rPr>
          <w:rFonts w:ascii="Arial" w:hAnsi="Arial" w:cs="Arial"/>
          <w:sz w:val="28"/>
          <w:szCs w:val="28"/>
        </w:rPr>
        <w:t>, conforme previsto no art. 17, §2º da mesma lei e no art. 17, §4º, da Lei Federal nº 8.666/1993, de aplicação supletiva. Assim, é necessário que, após aprovação da lei, o Executivo formalize termo de cessão, fixando obrigações, prazos e condições de retomada do imóvel em caso de descumprimento.</w:t>
      </w:r>
    </w:p>
    <w:p w14:paraId="086BC8E7" w14:textId="77777777" w:rsidR="00E63CB0" w:rsidRDefault="00E63CB0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E9724A" w14:textId="12740836" w:rsidR="005B6AB3" w:rsidRPr="002457EA" w:rsidRDefault="005B6AB3" w:rsidP="005B6AB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>Dessa forma, o conteúdo da proposta está integralmente amparado pela lei de regência, não havendo vícios de legalidade.</w:t>
      </w:r>
    </w:p>
    <w:p w14:paraId="15D24824" w14:textId="77777777" w:rsidR="005B6AB3" w:rsidRDefault="005B6AB3" w:rsidP="005B6AB3">
      <w:pPr>
        <w:rPr>
          <w:rFonts w:ascii="Arial" w:hAnsi="Arial" w:cs="Arial"/>
          <w:b/>
          <w:bCs/>
          <w:sz w:val="32"/>
          <w:szCs w:val="32"/>
        </w:rPr>
      </w:pPr>
    </w:p>
    <w:p w14:paraId="21367EE3" w14:textId="77777777" w:rsidR="00E63CB0" w:rsidRDefault="00E63CB0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D13A1DA" w14:textId="77777777" w:rsidR="00E63CB0" w:rsidRDefault="00E63CB0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A2F2C63" w14:textId="77777777" w:rsidR="00E63CB0" w:rsidRDefault="00E63CB0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54CBFEE" w14:textId="77777777" w:rsidR="00E63CB0" w:rsidRDefault="00E63CB0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635BD05" w14:textId="77777777" w:rsidR="00E63CB0" w:rsidRDefault="00E63CB0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749ED87" w14:textId="77777777" w:rsidR="00E63CB0" w:rsidRDefault="00E63CB0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265CF4" w14:textId="6A2A3BE4" w:rsidR="005B6AB3" w:rsidRDefault="005B6AB3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3DC8C83E" w14:textId="77777777" w:rsidR="005B6AB3" w:rsidRDefault="005B6AB3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AB6D6ED" w14:textId="77777777" w:rsidR="005B6AB3" w:rsidRDefault="005B6AB3" w:rsidP="005B6AB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3602B39" w14:textId="77777777" w:rsidR="005B6AB3" w:rsidRDefault="005B6AB3" w:rsidP="005B6AB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B66FD7B" w14:textId="77777777" w:rsidR="005B6AB3" w:rsidRDefault="005B6AB3" w:rsidP="005B6AB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9170E03" w14:textId="77777777" w:rsidR="005B6AB3" w:rsidRDefault="005B6AB3" w:rsidP="005B6AB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03 de outubro de 2025.</w:t>
      </w:r>
    </w:p>
    <w:p w14:paraId="548130A7" w14:textId="77777777" w:rsidR="005B6AB3" w:rsidRDefault="005B6AB3" w:rsidP="005B6AB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B344CE8" w14:textId="77777777" w:rsidR="005B6AB3" w:rsidRDefault="005B6AB3" w:rsidP="005B6AB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077631C" w14:textId="77777777" w:rsidR="005B6AB3" w:rsidRDefault="005B6AB3" w:rsidP="005B6AB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1F21E258" w14:textId="77777777" w:rsidR="005B6AB3" w:rsidRDefault="005B6AB3" w:rsidP="005B6AB3">
      <w:pPr>
        <w:jc w:val="center"/>
        <w:rPr>
          <w:rFonts w:ascii="Arial" w:hAnsi="Arial" w:cs="Arial"/>
          <w:sz w:val="28"/>
          <w:szCs w:val="28"/>
        </w:rPr>
      </w:pPr>
    </w:p>
    <w:p w14:paraId="71F51425" w14:textId="77777777" w:rsidR="005B6AB3" w:rsidRDefault="005B6AB3" w:rsidP="005B6AB3">
      <w:pPr>
        <w:jc w:val="center"/>
        <w:rPr>
          <w:rFonts w:ascii="Arial" w:hAnsi="Arial" w:cs="Arial"/>
          <w:sz w:val="28"/>
          <w:szCs w:val="28"/>
        </w:rPr>
      </w:pPr>
    </w:p>
    <w:p w14:paraId="6212C8E6" w14:textId="77777777" w:rsidR="005B6AB3" w:rsidRDefault="005B6AB3" w:rsidP="005B6AB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05B20A55" w14:textId="77777777" w:rsidR="005B6AB3" w:rsidRDefault="005B6AB3" w:rsidP="005B6AB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A430C23" w14:textId="77777777" w:rsidR="005B6AB3" w:rsidRDefault="005B6AB3" w:rsidP="005B6AB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9356978" w14:textId="77777777" w:rsidR="005B6AB3" w:rsidRDefault="005B6AB3" w:rsidP="005B6AB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311BD066" w14:textId="77777777" w:rsidR="005B6AB3" w:rsidRDefault="005B6AB3" w:rsidP="005B6AB3">
      <w:pPr>
        <w:jc w:val="both"/>
        <w:rPr>
          <w:rFonts w:ascii="Arial" w:hAnsi="Arial" w:cs="Arial"/>
          <w:sz w:val="28"/>
          <w:szCs w:val="28"/>
        </w:rPr>
      </w:pPr>
    </w:p>
    <w:p w14:paraId="1316AE8D" w14:textId="77777777" w:rsidR="005B6AB3" w:rsidRDefault="005B6AB3" w:rsidP="005B6AB3">
      <w:pPr>
        <w:jc w:val="both"/>
        <w:rPr>
          <w:rFonts w:ascii="Arial" w:hAnsi="Arial" w:cs="Arial"/>
          <w:sz w:val="28"/>
          <w:szCs w:val="28"/>
        </w:rPr>
      </w:pPr>
    </w:p>
    <w:p w14:paraId="6833145D" w14:textId="77777777" w:rsidR="005B6AB3" w:rsidRPr="006556E4" w:rsidRDefault="005B6AB3" w:rsidP="005B6AB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301B110E" w14:textId="77777777" w:rsidR="0002638E" w:rsidRDefault="0002638E" w:rsidP="0002638E">
      <w:pPr>
        <w:jc w:val="both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E63CB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40A4B" w14:textId="77777777" w:rsidR="00B61016" w:rsidRDefault="00B61016" w:rsidP="002A69D2">
      <w:pPr>
        <w:spacing w:after="0" w:line="240" w:lineRule="auto"/>
      </w:pPr>
      <w:r>
        <w:separator/>
      </w:r>
    </w:p>
  </w:endnote>
  <w:endnote w:type="continuationSeparator" w:id="0">
    <w:p w14:paraId="11A02B2F" w14:textId="77777777" w:rsidR="00B61016" w:rsidRDefault="00B6101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65E21" w14:textId="77777777" w:rsidR="00B61016" w:rsidRDefault="00B61016" w:rsidP="002A69D2">
      <w:pPr>
        <w:spacing w:after="0" w:line="240" w:lineRule="auto"/>
      </w:pPr>
      <w:r>
        <w:separator/>
      </w:r>
    </w:p>
  </w:footnote>
  <w:footnote w:type="continuationSeparator" w:id="0">
    <w:p w14:paraId="54051754" w14:textId="77777777" w:rsidR="00B61016" w:rsidRDefault="00B6101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71195"/>
    <w:multiLevelType w:val="multilevel"/>
    <w:tmpl w:val="83BC4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CD04D4"/>
    <w:multiLevelType w:val="multilevel"/>
    <w:tmpl w:val="F3EE8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A1188E"/>
    <w:multiLevelType w:val="multilevel"/>
    <w:tmpl w:val="50D8E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697056">
    <w:abstractNumId w:val="2"/>
  </w:num>
  <w:num w:numId="2" w16cid:durableId="1462309795">
    <w:abstractNumId w:val="1"/>
  </w:num>
  <w:num w:numId="3" w16cid:durableId="1622153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F9E"/>
    <w:rsid w:val="00017896"/>
    <w:rsid w:val="00022C5F"/>
    <w:rsid w:val="0002638E"/>
    <w:rsid w:val="00026EB8"/>
    <w:rsid w:val="00040E68"/>
    <w:rsid w:val="00054B7B"/>
    <w:rsid w:val="00062D50"/>
    <w:rsid w:val="00066726"/>
    <w:rsid w:val="00070D8A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9263B"/>
    <w:rsid w:val="001B2281"/>
    <w:rsid w:val="001C416D"/>
    <w:rsid w:val="001E1492"/>
    <w:rsid w:val="001E3443"/>
    <w:rsid w:val="00202CEB"/>
    <w:rsid w:val="0020527C"/>
    <w:rsid w:val="002457EA"/>
    <w:rsid w:val="002466D9"/>
    <w:rsid w:val="00261D4E"/>
    <w:rsid w:val="00267A83"/>
    <w:rsid w:val="00280D3B"/>
    <w:rsid w:val="002A69D2"/>
    <w:rsid w:val="002E67AF"/>
    <w:rsid w:val="003048DC"/>
    <w:rsid w:val="00314A02"/>
    <w:rsid w:val="003263A1"/>
    <w:rsid w:val="00332A21"/>
    <w:rsid w:val="00335610"/>
    <w:rsid w:val="00350D95"/>
    <w:rsid w:val="003860FB"/>
    <w:rsid w:val="0039298B"/>
    <w:rsid w:val="003A2C9F"/>
    <w:rsid w:val="003A6241"/>
    <w:rsid w:val="003B2261"/>
    <w:rsid w:val="003B708F"/>
    <w:rsid w:val="003C1729"/>
    <w:rsid w:val="003E338E"/>
    <w:rsid w:val="0040535C"/>
    <w:rsid w:val="00474412"/>
    <w:rsid w:val="004A290B"/>
    <w:rsid w:val="004D09D7"/>
    <w:rsid w:val="004D1658"/>
    <w:rsid w:val="004E7DE3"/>
    <w:rsid w:val="004F6F3C"/>
    <w:rsid w:val="00541D81"/>
    <w:rsid w:val="005603B7"/>
    <w:rsid w:val="005B6AB3"/>
    <w:rsid w:val="005D0031"/>
    <w:rsid w:val="005D27FA"/>
    <w:rsid w:val="005E191C"/>
    <w:rsid w:val="005E3303"/>
    <w:rsid w:val="005F0CAB"/>
    <w:rsid w:val="005F24AE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D5A10"/>
    <w:rsid w:val="006E65DC"/>
    <w:rsid w:val="006F16DF"/>
    <w:rsid w:val="00700227"/>
    <w:rsid w:val="0070370C"/>
    <w:rsid w:val="00735905"/>
    <w:rsid w:val="00751C28"/>
    <w:rsid w:val="0075249F"/>
    <w:rsid w:val="00773171"/>
    <w:rsid w:val="00797F28"/>
    <w:rsid w:val="007B42BA"/>
    <w:rsid w:val="007F790B"/>
    <w:rsid w:val="00801E01"/>
    <w:rsid w:val="008029E4"/>
    <w:rsid w:val="00811564"/>
    <w:rsid w:val="008229AE"/>
    <w:rsid w:val="008229EB"/>
    <w:rsid w:val="0082524E"/>
    <w:rsid w:val="00827B36"/>
    <w:rsid w:val="00843341"/>
    <w:rsid w:val="008A1962"/>
    <w:rsid w:val="008D40E6"/>
    <w:rsid w:val="008D6891"/>
    <w:rsid w:val="00907A93"/>
    <w:rsid w:val="00921599"/>
    <w:rsid w:val="0093119F"/>
    <w:rsid w:val="00936E96"/>
    <w:rsid w:val="00957787"/>
    <w:rsid w:val="0098241C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61016"/>
    <w:rsid w:val="00B67698"/>
    <w:rsid w:val="00B702A5"/>
    <w:rsid w:val="00B819E5"/>
    <w:rsid w:val="00BA0AD5"/>
    <w:rsid w:val="00BA7862"/>
    <w:rsid w:val="00BB3E7C"/>
    <w:rsid w:val="00BB3FD0"/>
    <w:rsid w:val="00BB7808"/>
    <w:rsid w:val="00C02712"/>
    <w:rsid w:val="00C02D3D"/>
    <w:rsid w:val="00C30623"/>
    <w:rsid w:val="00C365BD"/>
    <w:rsid w:val="00C401C7"/>
    <w:rsid w:val="00C40FBB"/>
    <w:rsid w:val="00C56498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E0A48"/>
    <w:rsid w:val="00E108F4"/>
    <w:rsid w:val="00E31E2A"/>
    <w:rsid w:val="00E324DC"/>
    <w:rsid w:val="00E35C68"/>
    <w:rsid w:val="00E5072E"/>
    <w:rsid w:val="00E63CB0"/>
    <w:rsid w:val="00E771C3"/>
    <w:rsid w:val="00EC6F7B"/>
    <w:rsid w:val="00EC789E"/>
    <w:rsid w:val="00EE693A"/>
    <w:rsid w:val="00F13B0E"/>
    <w:rsid w:val="00F30441"/>
    <w:rsid w:val="00F32323"/>
    <w:rsid w:val="00F61D1B"/>
    <w:rsid w:val="00F63300"/>
    <w:rsid w:val="00F825B3"/>
    <w:rsid w:val="00F903EC"/>
    <w:rsid w:val="00F9422A"/>
    <w:rsid w:val="00F95523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696</Words>
  <Characters>3726</Characters>
  <Application>Microsoft Office Word</Application>
  <DocSecurity>0</DocSecurity>
  <Lines>116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2025-02-24T14:02:00Z</cp:lastPrinted>
  <dcterms:created xsi:type="dcterms:W3CDTF">2025-10-06T18:36:00Z</dcterms:created>
  <dcterms:modified xsi:type="dcterms:W3CDTF">2025-10-06T18:36:00Z</dcterms:modified>
</cp:coreProperties>
</file>