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5B3271B0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402AAA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402AAA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1CC9F8C8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EF590C">
        <w:rPr>
          <w:rFonts w:ascii="Arial" w:hAnsi="Arial" w:cs="Arial"/>
          <w:sz w:val="28"/>
          <w:szCs w:val="28"/>
        </w:rPr>
        <w:t>5</w:t>
      </w:r>
      <w:r w:rsidR="00E81F89">
        <w:rPr>
          <w:rFonts w:ascii="Arial" w:hAnsi="Arial" w:cs="Arial"/>
          <w:sz w:val="28"/>
          <w:szCs w:val="28"/>
        </w:rPr>
        <w:t>3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0187BA95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E81F89">
        <w:rPr>
          <w:rFonts w:ascii="Arial" w:hAnsi="Arial" w:cs="Arial"/>
          <w:sz w:val="28"/>
          <w:szCs w:val="28"/>
        </w:rPr>
        <w:t>47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E81F89">
        <w:rPr>
          <w:rFonts w:ascii="Arial" w:hAnsi="Arial" w:cs="Arial"/>
          <w:sz w:val="28"/>
          <w:szCs w:val="28"/>
        </w:rPr>
        <w:t>31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E81F89">
        <w:rPr>
          <w:rFonts w:ascii="Arial" w:hAnsi="Arial" w:cs="Arial"/>
          <w:sz w:val="28"/>
          <w:szCs w:val="28"/>
        </w:rPr>
        <w:t>julho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08C0CED2" w:rsidR="004C232D" w:rsidRPr="0064105C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50060A" w:rsidRPr="0050060A">
        <w:rPr>
          <w:rFonts w:ascii="Arial" w:hAnsi="Arial" w:cs="Arial"/>
          <w:bCs/>
          <w:sz w:val="28"/>
          <w:szCs w:val="28"/>
        </w:rPr>
        <w:t>Dispõe sobre o Plano Plurianual para o quadriênio 2026-2029</w:t>
      </w:r>
      <w:r w:rsidR="00460E0F" w:rsidRPr="00460E0F">
        <w:rPr>
          <w:rFonts w:ascii="Arial" w:hAnsi="Arial" w:cs="Arial"/>
          <w:bCs/>
          <w:sz w:val="28"/>
          <w:szCs w:val="28"/>
        </w:rPr>
        <w:t>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0D473108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460E0F">
        <w:rPr>
          <w:rFonts w:ascii="Arial" w:hAnsi="Arial" w:cs="Arial"/>
          <w:sz w:val="28"/>
          <w:szCs w:val="28"/>
        </w:rPr>
        <w:t>Lucas Justin</w:t>
      </w:r>
      <w:r w:rsidR="001B0765">
        <w:rPr>
          <w:rFonts w:ascii="Arial" w:hAnsi="Arial" w:cs="Arial"/>
          <w:sz w:val="28"/>
          <w:szCs w:val="28"/>
        </w:rPr>
        <w:t xml:space="preserve"> </w:t>
      </w:r>
      <w:r w:rsidR="001B0765" w:rsidRPr="001B0765">
        <w:rPr>
          <w:rFonts w:ascii="Arial" w:hAnsi="Arial" w:cs="Arial"/>
          <w:sz w:val="28"/>
          <w:szCs w:val="28"/>
        </w:rPr>
        <w:t xml:space="preserve">Vieira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2DC8BDD2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50060A" w:rsidRPr="0050060A">
        <w:rPr>
          <w:rFonts w:ascii="Times New Roman" w:hAnsi="Times New Roman" w:cs="Times New Roman"/>
          <w:i/>
          <w:iCs/>
          <w:sz w:val="28"/>
          <w:szCs w:val="28"/>
        </w:rPr>
        <w:t>Dispõe sobre o Plano Plurianual para o quadriênio 2026-2029 e dá outras providências.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E23DA9" w14:textId="6A9ED868" w:rsidR="00870630" w:rsidRPr="0050060A" w:rsidRDefault="00116E4D" w:rsidP="0050060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64105C">
        <w:rPr>
          <w:rFonts w:ascii="Arial" w:hAnsi="Arial" w:cs="Arial"/>
          <w:sz w:val="28"/>
          <w:szCs w:val="28"/>
        </w:rPr>
        <w:t xml:space="preserve">O Projeto de Lei nº </w:t>
      </w:r>
      <w:r w:rsidR="0050060A">
        <w:rPr>
          <w:rFonts w:ascii="Arial" w:hAnsi="Arial" w:cs="Arial"/>
          <w:sz w:val="28"/>
          <w:szCs w:val="28"/>
        </w:rPr>
        <w:t>47</w:t>
      </w:r>
      <w:r w:rsidRPr="0064105C">
        <w:rPr>
          <w:rFonts w:ascii="Arial" w:hAnsi="Arial" w:cs="Arial"/>
          <w:sz w:val="28"/>
          <w:szCs w:val="28"/>
        </w:rPr>
        <w:t xml:space="preserve">, de </w:t>
      </w:r>
      <w:r w:rsidR="0050060A">
        <w:rPr>
          <w:rFonts w:ascii="Arial" w:hAnsi="Arial" w:cs="Arial"/>
          <w:sz w:val="28"/>
          <w:szCs w:val="28"/>
        </w:rPr>
        <w:t>31</w:t>
      </w:r>
      <w:r w:rsidRPr="0064105C">
        <w:rPr>
          <w:rFonts w:ascii="Arial" w:hAnsi="Arial" w:cs="Arial"/>
          <w:sz w:val="28"/>
          <w:szCs w:val="28"/>
        </w:rPr>
        <w:t xml:space="preserve"> de </w:t>
      </w:r>
      <w:r w:rsidR="0050060A">
        <w:rPr>
          <w:rFonts w:ascii="Arial" w:hAnsi="Arial" w:cs="Arial"/>
          <w:sz w:val="28"/>
          <w:szCs w:val="28"/>
        </w:rPr>
        <w:t>julho</w:t>
      </w:r>
      <w:r w:rsidRPr="0064105C">
        <w:rPr>
          <w:rFonts w:ascii="Arial" w:hAnsi="Arial" w:cs="Arial"/>
          <w:sz w:val="28"/>
          <w:szCs w:val="28"/>
        </w:rPr>
        <w:t xml:space="preserve"> de 2025, tem por finalidade </w:t>
      </w:r>
      <w:r w:rsidR="00870630" w:rsidRPr="0064105C">
        <w:rPr>
          <w:rFonts w:ascii="Arial" w:hAnsi="Arial" w:cs="Arial"/>
          <w:sz w:val="28"/>
          <w:szCs w:val="28"/>
        </w:rPr>
        <w:t xml:space="preserve">a </w:t>
      </w:r>
      <w:r w:rsidR="0064105C" w:rsidRPr="0064105C">
        <w:rPr>
          <w:rFonts w:ascii="Arial" w:hAnsi="Arial" w:cs="Arial"/>
          <w:sz w:val="28"/>
          <w:szCs w:val="28"/>
        </w:rPr>
        <w:t>alteração de dispositivo</w:t>
      </w:r>
      <w:r w:rsidR="00460E0F">
        <w:rPr>
          <w:rFonts w:ascii="Arial" w:hAnsi="Arial" w:cs="Arial"/>
          <w:sz w:val="28"/>
          <w:szCs w:val="28"/>
        </w:rPr>
        <w:t>s</w:t>
      </w:r>
      <w:r w:rsidR="0064105C" w:rsidRPr="0064105C">
        <w:rPr>
          <w:rFonts w:ascii="Arial" w:hAnsi="Arial" w:cs="Arial"/>
          <w:sz w:val="28"/>
          <w:szCs w:val="28"/>
        </w:rPr>
        <w:t xml:space="preserve"> da Lei 2.</w:t>
      </w:r>
      <w:r w:rsidR="00460E0F">
        <w:rPr>
          <w:rFonts w:ascii="Arial" w:hAnsi="Arial" w:cs="Arial"/>
          <w:sz w:val="28"/>
          <w:szCs w:val="28"/>
        </w:rPr>
        <w:t>378</w:t>
      </w:r>
      <w:r w:rsidR="0064105C" w:rsidRPr="0064105C">
        <w:rPr>
          <w:rFonts w:ascii="Arial" w:hAnsi="Arial" w:cs="Arial"/>
          <w:sz w:val="28"/>
          <w:szCs w:val="28"/>
        </w:rPr>
        <w:t>/20</w:t>
      </w:r>
      <w:r w:rsidR="00460E0F">
        <w:rPr>
          <w:rFonts w:ascii="Arial" w:hAnsi="Arial" w:cs="Arial"/>
          <w:sz w:val="28"/>
          <w:szCs w:val="28"/>
        </w:rPr>
        <w:t>18</w:t>
      </w:r>
      <w:r w:rsidR="0064105C">
        <w:rPr>
          <w:rFonts w:ascii="Arial" w:hAnsi="Arial" w:cs="Arial"/>
          <w:sz w:val="28"/>
          <w:szCs w:val="28"/>
        </w:rPr>
        <w:t>,</w:t>
      </w:r>
      <w:r w:rsidR="0064105C" w:rsidRPr="0064105C">
        <w:rPr>
          <w:rFonts w:ascii="Arial" w:hAnsi="Arial" w:cs="Arial"/>
          <w:sz w:val="28"/>
          <w:szCs w:val="28"/>
        </w:rPr>
        <w:t xml:space="preserve"> que dispõe </w:t>
      </w:r>
      <w:r w:rsidR="0050060A" w:rsidRPr="0050060A">
        <w:rPr>
          <w:rFonts w:ascii="Arial" w:hAnsi="Arial" w:cs="Arial"/>
          <w:sz w:val="28"/>
          <w:szCs w:val="28"/>
        </w:rPr>
        <w:t>sobre o Plano Plurianual para o quadriênio 2026-2029.</w:t>
      </w:r>
    </w:p>
    <w:p w14:paraId="118E3409" w14:textId="77777777" w:rsidR="00460E0F" w:rsidRDefault="00460E0F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1A17666" w14:textId="2E9E7F81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AF96E05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observância ao proposto PL, verifica-se que este atende aos princípios contidos na Magna Carta no tocante à </w:t>
      </w:r>
      <w:r>
        <w:rPr>
          <w:rFonts w:ascii="Arial" w:hAnsi="Arial" w:cs="Arial"/>
          <w:sz w:val="28"/>
          <w:szCs w:val="28"/>
        </w:rPr>
        <w:lastRenderedPageBreak/>
        <w:t>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1DFE79EE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6985735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podendo </w:t>
      </w:r>
      <w:proofErr w:type="gramStart"/>
      <w:r>
        <w:rPr>
          <w:rFonts w:ascii="Arial" w:hAnsi="Arial" w:cs="Arial"/>
          <w:sz w:val="28"/>
          <w:szCs w:val="28"/>
        </w:rPr>
        <w:t>o mesmo</w:t>
      </w:r>
      <w:proofErr w:type="gramEnd"/>
      <w:r>
        <w:rPr>
          <w:rFonts w:ascii="Arial" w:hAnsi="Arial" w:cs="Arial"/>
          <w:sz w:val="28"/>
          <w:szCs w:val="28"/>
        </w:rPr>
        <w:t xml:space="preserve">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5D566B7C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7666F14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779F617C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5226FD5" w14:textId="6F2E091B" w:rsidR="00756AE1" w:rsidRP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Ademais, o</w:t>
      </w:r>
      <w:r w:rsidRPr="00756AE1">
        <w:rPr>
          <w:rFonts w:ascii="Arial" w:hAnsi="Arial" w:cs="Arial"/>
          <w:sz w:val="28"/>
          <w:szCs w:val="28"/>
        </w:rPr>
        <w:t xml:space="preserve"> Plano Plurianual (PPA) é instrumento de planejamento previsto no art. 165, §1º da Constituição Federal, disciplinado também na Lei nº 4.320/64 e na Lei de Responsabilidade </w:t>
      </w:r>
      <w:r w:rsidRPr="00756AE1">
        <w:rPr>
          <w:rFonts w:ascii="Arial" w:hAnsi="Arial" w:cs="Arial"/>
          <w:sz w:val="28"/>
          <w:szCs w:val="28"/>
        </w:rPr>
        <w:lastRenderedPageBreak/>
        <w:t>Fiscal</w:t>
      </w:r>
      <w:r>
        <w:rPr>
          <w:rFonts w:ascii="Arial" w:hAnsi="Arial" w:cs="Arial"/>
          <w:sz w:val="28"/>
          <w:szCs w:val="28"/>
        </w:rPr>
        <w:t xml:space="preserve"> </w:t>
      </w:r>
      <w:r w:rsidRPr="00756AE1">
        <w:rPr>
          <w:rFonts w:ascii="Arial" w:hAnsi="Arial" w:cs="Arial"/>
          <w:sz w:val="28"/>
          <w:szCs w:val="28"/>
        </w:rPr>
        <w:t>(LC nº 101/2000).</w:t>
      </w:r>
      <w:r>
        <w:rPr>
          <w:rFonts w:ascii="Arial" w:hAnsi="Arial" w:cs="Arial"/>
          <w:sz w:val="28"/>
          <w:szCs w:val="28"/>
        </w:rPr>
        <w:t xml:space="preserve"> </w:t>
      </w:r>
      <w:r w:rsidRPr="00756AE1">
        <w:rPr>
          <w:rFonts w:ascii="Arial" w:hAnsi="Arial" w:cs="Arial"/>
          <w:sz w:val="28"/>
          <w:szCs w:val="28"/>
        </w:rPr>
        <w:t>Deve conter diretrizes, objetivos e metas da administração pública, organizados em programas, orientando a elaboração das Leis de Diretrizes Orçamentárias (LDO) e das Leis Orçamentárias Anuais (LOA).</w:t>
      </w:r>
    </w:p>
    <w:p w14:paraId="75A89F14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528F933" w14:textId="5420494B" w:rsidR="00756AE1" w:rsidRP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sz w:val="28"/>
          <w:szCs w:val="28"/>
        </w:rPr>
        <w:t>A LRF (</w:t>
      </w:r>
      <w:proofErr w:type="spellStart"/>
      <w:r w:rsidRPr="00756AE1">
        <w:rPr>
          <w:rFonts w:ascii="Arial" w:hAnsi="Arial" w:cs="Arial"/>
          <w:sz w:val="28"/>
          <w:szCs w:val="28"/>
        </w:rPr>
        <w:t>arts</w:t>
      </w:r>
      <w:proofErr w:type="spellEnd"/>
      <w:r w:rsidRPr="00756AE1">
        <w:rPr>
          <w:rFonts w:ascii="Arial" w:hAnsi="Arial" w:cs="Arial"/>
          <w:sz w:val="28"/>
          <w:szCs w:val="28"/>
        </w:rPr>
        <w:t>. 1º, 4º, 5º, 16, 17 e 19) impõe requisitos de equilíbrio fiscal, responsabilidade na criação de despesas, limites de pessoal, previdência, saúde e educação, bem como regras de transparência e avaliação de resultados.</w:t>
      </w:r>
    </w:p>
    <w:p w14:paraId="1BD52E58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1145E46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sz w:val="28"/>
          <w:szCs w:val="28"/>
        </w:rPr>
        <w:t>O texto do Projeto de Lei cumpre, em linhas gerais, as exigências constitucionais e da LRF:</w:t>
      </w:r>
    </w:p>
    <w:p w14:paraId="71B9F4C7" w14:textId="77777777" w:rsidR="00756AE1" w:rsidRP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57164EB" w14:textId="77777777" w:rsidR="00756AE1" w:rsidRPr="00756AE1" w:rsidRDefault="00756AE1" w:rsidP="00756AE1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b/>
          <w:bCs/>
          <w:sz w:val="28"/>
          <w:szCs w:val="28"/>
        </w:rPr>
        <w:t>Estrutura normativa adequada</w:t>
      </w:r>
      <w:r w:rsidRPr="00756AE1">
        <w:rPr>
          <w:rFonts w:ascii="Arial" w:hAnsi="Arial" w:cs="Arial"/>
          <w:sz w:val="28"/>
          <w:szCs w:val="28"/>
        </w:rPr>
        <w:t>: define programas, ações, produtos, metas e indicadores (</w:t>
      </w:r>
      <w:proofErr w:type="spellStart"/>
      <w:r w:rsidRPr="00756AE1">
        <w:rPr>
          <w:rFonts w:ascii="Arial" w:hAnsi="Arial" w:cs="Arial"/>
          <w:sz w:val="28"/>
          <w:szCs w:val="28"/>
        </w:rPr>
        <w:t>arts</w:t>
      </w:r>
      <w:proofErr w:type="spellEnd"/>
      <w:r w:rsidRPr="00756AE1">
        <w:rPr>
          <w:rFonts w:ascii="Arial" w:hAnsi="Arial" w:cs="Arial"/>
          <w:sz w:val="28"/>
          <w:szCs w:val="28"/>
        </w:rPr>
        <w:t>. 1º e 2º).</w:t>
      </w:r>
    </w:p>
    <w:p w14:paraId="7A395BC4" w14:textId="77777777" w:rsidR="00756AE1" w:rsidRPr="00756AE1" w:rsidRDefault="00756AE1" w:rsidP="00756AE1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b/>
          <w:bCs/>
          <w:sz w:val="28"/>
          <w:szCs w:val="28"/>
        </w:rPr>
        <w:t>Flexibilidade orçamentária</w:t>
      </w:r>
      <w:r w:rsidRPr="00756AE1">
        <w:rPr>
          <w:rFonts w:ascii="Arial" w:hAnsi="Arial" w:cs="Arial"/>
          <w:sz w:val="28"/>
          <w:szCs w:val="28"/>
        </w:rPr>
        <w:t>: prevê que valores e metas são referenciais, devendo ser compatibilizados com a LDO e a LOA (art. 3º).</w:t>
      </w:r>
    </w:p>
    <w:p w14:paraId="05826A97" w14:textId="77777777" w:rsidR="00756AE1" w:rsidRPr="00756AE1" w:rsidRDefault="00756AE1" w:rsidP="00756AE1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b/>
          <w:bCs/>
          <w:sz w:val="28"/>
          <w:szCs w:val="28"/>
        </w:rPr>
        <w:t>Instrumentos de revisão e atualização</w:t>
      </w:r>
      <w:r w:rsidRPr="00756AE1">
        <w:rPr>
          <w:rFonts w:ascii="Arial" w:hAnsi="Arial" w:cs="Arial"/>
          <w:sz w:val="28"/>
          <w:szCs w:val="28"/>
        </w:rPr>
        <w:t>: disciplina hipóteses de alteração de programas, ações e indicadores (</w:t>
      </w:r>
      <w:proofErr w:type="spellStart"/>
      <w:r w:rsidRPr="00756AE1">
        <w:rPr>
          <w:rFonts w:ascii="Arial" w:hAnsi="Arial" w:cs="Arial"/>
          <w:sz w:val="28"/>
          <w:szCs w:val="28"/>
        </w:rPr>
        <w:t>arts</w:t>
      </w:r>
      <w:proofErr w:type="spellEnd"/>
      <w:r w:rsidRPr="00756AE1">
        <w:rPr>
          <w:rFonts w:ascii="Arial" w:hAnsi="Arial" w:cs="Arial"/>
          <w:sz w:val="28"/>
          <w:szCs w:val="28"/>
        </w:rPr>
        <w:t>. 5º a 7º).</w:t>
      </w:r>
    </w:p>
    <w:p w14:paraId="773FC40C" w14:textId="77777777" w:rsidR="00756AE1" w:rsidRPr="00756AE1" w:rsidRDefault="00756AE1" w:rsidP="00756AE1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b/>
          <w:bCs/>
          <w:sz w:val="28"/>
          <w:szCs w:val="28"/>
        </w:rPr>
        <w:t>Transparência e controle</w:t>
      </w:r>
      <w:r w:rsidRPr="00756AE1">
        <w:rPr>
          <w:rFonts w:ascii="Arial" w:hAnsi="Arial" w:cs="Arial"/>
          <w:sz w:val="28"/>
          <w:szCs w:val="28"/>
        </w:rPr>
        <w:t>: determina acompanhamento pela Secretaria da Fazenda, relatórios anuais e envio ao Legislativo (art. 8º).</w:t>
      </w:r>
    </w:p>
    <w:p w14:paraId="6450EC1B" w14:textId="77777777" w:rsidR="00756AE1" w:rsidRPr="00756AE1" w:rsidRDefault="00756AE1" w:rsidP="00756AE1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b/>
          <w:bCs/>
          <w:sz w:val="28"/>
          <w:szCs w:val="28"/>
        </w:rPr>
        <w:t>Compatibilidade com a LRF</w:t>
      </w:r>
      <w:r w:rsidRPr="00756AE1">
        <w:rPr>
          <w:rFonts w:ascii="Arial" w:hAnsi="Arial" w:cs="Arial"/>
          <w:sz w:val="28"/>
          <w:szCs w:val="28"/>
        </w:rPr>
        <w:t xml:space="preserve">: os anexos trazem projeções de receita, limites de despesa com pessoal, vinculações </w:t>
      </w:r>
      <w:r w:rsidRPr="00756AE1">
        <w:rPr>
          <w:rFonts w:ascii="Arial" w:hAnsi="Arial" w:cs="Arial"/>
          <w:sz w:val="28"/>
          <w:szCs w:val="28"/>
        </w:rPr>
        <w:lastRenderedPageBreak/>
        <w:t>constitucionais (educação, saúde e assistência social) e consolidação financeira do plano.</w:t>
      </w:r>
    </w:p>
    <w:p w14:paraId="032DE2DD" w14:textId="77777777" w:rsidR="00756AE1" w:rsidRDefault="00756AE1" w:rsidP="00756AE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CB8EB81" w14:textId="61029589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756AE1">
        <w:rPr>
          <w:rFonts w:ascii="Arial" w:hAnsi="Arial" w:cs="Arial"/>
          <w:sz w:val="28"/>
          <w:szCs w:val="28"/>
        </w:rPr>
        <w:t>O texto legal segue a mesma linha estrutural do PPA anterior, instituído pela Lei Municipal nº 2.615/2021 para o período de 2022–2025, mantendo a divisão em programas finalísticos e de gestão, definindo ações, produtos e metas, bem como os mecanismos de acompanhamento pela Secretaria da Fazenda, que deve elaborar relatórios anuais a serem encaminhados à Câmara de Vereadores.</w:t>
      </w:r>
    </w:p>
    <w:p w14:paraId="670D2570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7038C25" w14:textId="65EA3384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Outrossim, os a</w:t>
      </w:r>
      <w:r w:rsidRPr="00756AE1">
        <w:rPr>
          <w:rFonts w:ascii="Arial" w:hAnsi="Arial" w:cs="Arial"/>
          <w:sz w:val="28"/>
          <w:szCs w:val="28"/>
        </w:rPr>
        <w:t>nexos técnicos (Tabelas 01 a 09)</w:t>
      </w:r>
      <w:r>
        <w:rPr>
          <w:rFonts w:ascii="Arial" w:hAnsi="Arial" w:cs="Arial"/>
          <w:sz w:val="28"/>
          <w:szCs w:val="28"/>
        </w:rPr>
        <w:t xml:space="preserve"> preveem a) e</w:t>
      </w:r>
      <w:r w:rsidRPr="00756AE1">
        <w:rPr>
          <w:rFonts w:ascii="Arial" w:hAnsi="Arial" w:cs="Arial"/>
          <w:sz w:val="28"/>
          <w:szCs w:val="28"/>
        </w:rPr>
        <w:t>stimativas de receita até 2029</w:t>
      </w:r>
      <w:r>
        <w:rPr>
          <w:rFonts w:ascii="Arial" w:hAnsi="Arial" w:cs="Arial"/>
          <w:sz w:val="28"/>
          <w:szCs w:val="28"/>
        </w:rPr>
        <w:t>; b) R</w:t>
      </w:r>
      <w:r w:rsidRPr="00756AE1">
        <w:rPr>
          <w:rFonts w:ascii="Arial" w:hAnsi="Arial" w:cs="Arial"/>
          <w:sz w:val="28"/>
          <w:szCs w:val="28"/>
        </w:rPr>
        <w:t>eceita Corrente Líquida projetada</w:t>
      </w:r>
      <w:r>
        <w:rPr>
          <w:rFonts w:ascii="Arial" w:hAnsi="Arial" w:cs="Arial"/>
          <w:sz w:val="28"/>
          <w:szCs w:val="28"/>
        </w:rPr>
        <w:t>; c)</w:t>
      </w:r>
      <w:r w:rsidRPr="00756AE1">
        <w:rPr>
          <w:rFonts w:ascii="Arial" w:hAnsi="Arial" w:cs="Arial"/>
          <w:sz w:val="28"/>
          <w:szCs w:val="28"/>
        </w:rPr>
        <w:t xml:space="preserve"> Limites de gastos com pessoal Executivo e Legislativo (art. 19, LRF)</w:t>
      </w:r>
      <w:r>
        <w:rPr>
          <w:rFonts w:ascii="Arial" w:hAnsi="Arial" w:cs="Arial"/>
          <w:sz w:val="28"/>
          <w:szCs w:val="28"/>
        </w:rPr>
        <w:t>; d)</w:t>
      </w:r>
      <w:r w:rsidRPr="00756AE1">
        <w:rPr>
          <w:rFonts w:ascii="Arial" w:hAnsi="Arial" w:cs="Arial"/>
          <w:sz w:val="28"/>
          <w:szCs w:val="28"/>
        </w:rPr>
        <w:t xml:space="preserve"> Vinculações mínimas constitucionais em Educação (25%), Saúde (15%) e RPPS</w:t>
      </w:r>
      <w:r>
        <w:rPr>
          <w:rFonts w:ascii="Arial" w:hAnsi="Arial" w:cs="Arial"/>
          <w:sz w:val="28"/>
          <w:szCs w:val="28"/>
        </w:rPr>
        <w:t xml:space="preserve">; e </w:t>
      </w:r>
      <w:proofErr w:type="spellStart"/>
      <w:r>
        <w:rPr>
          <w:rFonts w:ascii="Arial" w:hAnsi="Arial" w:cs="Arial"/>
          <w:sz w:val="28"/>
          <w:szCs w:val="28"/>
        </w:rPr>
        <w:t>e</w:t>
      </w:r>
      <w:proofErr w:type="spellEnd"/>
      <w:r>
        <w:rPr>
          <w:rFonts w:ascii="Arial" w:hAnsi="Arial" w:cs="Arial"/>
          <w:sz w:val="28"/>
          <w:szCs w:val="28"/>
        </w:rPr>
        <w:t xml:space="preserve">) </w:t>
      </w:r>
      <w:r w:rsidRPr="00756AE1">
        <w:rPr>
          <w:rFonts w:ascii="Arial" w:hAnsi="Arial" w:cs="Arial"/>
          <w:sz w:val="28"/>
          <w:szCs w:val="28"/>
        </w:rPr>
        <w:t>Integração com a LDO e a LOA</w:t>
      </w:r>
      <w:r>
        <w:rPr>
          <w:rFonts w:ascii="Arial" w:hAnsi="Arial" w:cs="Arial"/>
          <w:sz w:val="28"/>
          <w:szCs w:val="28"/>
        </w:rPr>
        <w:t xml:space="preserve">, </w:t>
      </w:r>
      <w:r w:rsidRPr="00756AE1">
        <w:rPr>
          <w:rFonts w:ascii="Arial" w:hAnsi="Arial" w:cs="Arial"/>
          <w:sz w:val="28"/>
          <w:szCs w:val="28"/>
        </w:rPr>
        <w:t>respeita</w:t>
      </w:r>
      <w:r>
        <w:rPr>
          <w:rFonts w:ascii="Arial" w:hAnsi="Arial" w:cs="Arial"/>
          <w:sz w:val="28"/>
          <w:szCs w:val="28"/>
        </w:rPr>
        <w:t>ndo</w:t>
      </w:r>
      <w:r w:rsidRPr="00756AE1">
        <w:rPr>
          <w:rFonts w:ascii="Arial" w:hAnsi="Arial" w:cs="Arial"/>
          <w:sz w:val="28"/>
          <w:szCs w:val="28"/>
        </w:rPr>
        <w:t xml:space="preserve"> a hierarquia normativa e assegura</w:t>
      </w:r>
      <w:r>
        <w:rPr>
          <w:rFonts w:ascii="Arial" w:hAnsi="Arial" w:cs="Arial"/>
          <w:sz w:val="28"/>
          <w:szCs w:val="28"/>
        </w:rPr>
        <w:t>ndo</w:t>
      </w:r>
      <w:r w:rsidRPr="00756AE1">
        <w:rPr>
          <w:rFonts w:ascii="Arial" w:hAnsi="Arial" w:cs="Arial"/>
          <w:sz w:val="28"/>
          <w:szCs w:val="28"/>
        </w:rPr>
        <w:t xml:space="preserve"> que as metas físicas e financeiras do PPA sejam desdobradas em cada exercício.</w:t>
      </w:r>
    </w:p>
    <w:p w14:paraId="300955DB" w14:textId="77777777" w:rsid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19BA185" w14:textId="77663E4F" w:rsidR="00756AE1" w:rsidRPr="00756AE1" w:rsidRDefault="00756AE1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3A9028FC" w14:textId="77777777" w:rsidR="00756AE1" w:rsidRDefault="00756AE1" w:rsidP="00756AE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478111D4" w14:textId="77777777" w:rsidR="00756AE1" w:rsidRDefault="00756AE1" w:rsidP="00756AE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D95DA64" w14:textId="77777777" w:rsidR="00756AE1" w:rsidRDefault="00756AE1" w:rsidP="00756AE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E80924" w14:textId="77777777" w:rsidR="00756AE1" w:rsidRDefault="00756AE1" w:rsidP="00756AE1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38B3899D" w14:textId="77777777" w:rsidR="00756AE1" w:rsidRDefault="00756AE1" w:rsidP="00756AE1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AB31636" w14:textId="194B93C0" w:rsidR="00756AE1" w:rsidRDefault="00756AE1" w:rsidP="00756AE1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>
        <w:rPr>
          <w:rFonts w:ascii="Arial" w:hAnsi="Arial" w:cs="Arial"/>
          <w:sz w:val="28"/>
          <w:szCs w:val="28"/>
        </w:rPr>
        <w:t>01</w:t>
      </w:r>
      <w:r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3680F14" w14:textId="77777777" w:rsidR="00756AE1" w:rsidRDefault="00756AE1" w:rsidP="00756AE1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A173699" w14:textId="77777777" w:rsidR="00756AE1" w:rsidRDefault="00756AE1" w:rsidP="00756AE1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17967E9A" w14:textId="77777777" w:rsidR="00756AE1" w:rsidRDefault="00756AE1" w:rsidP="00756AE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03838675" w14:textId="77777777" w:rsidR="00756AE1" w:rsidRDefault="00756AE1" w:rsidP="00756AE1">
      <w:pPr>
        <w:jc w:val="center"/>
        <w:rPr>
          <w:rFonts w:ascii="Arial" w:hAnsi="Arial" w:cs="Arial"/>
          <w:sz w:val="28"/>
          <w:szCs w:val="28"/>
        </w:rPr>
      </w:pPr>
    </w:p>
    <w:p w14:paraId="67C9E5EE" w14:textId="77777777" w:rsidR="00756AE1" w:rsidRDefault="00756AE1" w:rsidP="00756AE1">
      <w:pPr>
        <w:jc w:val="center"/>
        <w:rPr>
          <w:rFonts w:ascii="Arial" w:hAnsi="Arial" w:cs="Arial"/>
          <w:sz w:val="28"/>
          <w:szCs w:val="28"/>
        </w:rPr>
      </w:pPr>
    </w:p>
    <w:p w14:paraId="4786DAD7" w14:textId="77777777" w:rsidR="00756AE1" w:rsidRDefault="00756AE1" w:rsidP="00756AE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1B863BDB" w14:textId="77777777" w:rsidR="00756AE1" w:rsidRDefault="00756AE1" w:rsidP="00756AE1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7B2FA8F" w14:textId="77777777" w:rsidR="00756AE1" w:rsidRDefault="00756AE1" w:rsidP="00756AE1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842E3B0" w14:textId="77777777" w:rsidR="00756AE1" w:rsidRDefault="00756AE1" w:rsidP="00756AE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3925C96E" w14:textId="77777777" w:rsidR="00756AE1" w:rsidRDefault="00756AE1" w:rsidP="00756AE1">
      <w:pPr>
        <w:jc w:val="both"/>
        <w:rPr>
          <w:rFonts w:ascii="Arial" w:hAnsi="Arial" w:cs="Arial"/>
          <w:sz w:val="28"/>
          <w:szCs w:val="28"/>
        </w:rPr>
      </w:pPr>
    </w:p>
    <w:p w14:paraId="79AD496A" w14:textId="77777777" w:rsidR="00756AE1" w:rsidRDefault="00756AE1" w:rsidP="00756AE1">
      <w:pPr>
        <w:jc w:val="both"/>
        <w:rPr>
          <w:rFonts w:ascii="Arial" w:hAnsi="Arial" w:cs="Arial"/>
          <w:sz w:val="28"/>
          <w:szCs w:val="28"/>
        </w:rPr>
      </w:pPr>
    </w:p>
    <w:p w14:paraId="07E65A27" w14:textId="77777777" w:rsidR="00756AE1" w:rsidRPr="006556E4" w:rsidRDefault="00756AE1" w:rsidP="00756A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41C47D21" w14:textId="7FF23C1F" w:rsidR="00C02D3D" w:rsidRPr="006556E4" w:rsidRDefault="00C02D3D" w:rsidP="00756AE1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sectPr w:rsidR="00C02D3D" w:rsidRPr="006556E4" w:rsidSect="00511304">
      <w:headerReference w:type="default" r:id="rId7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5579" w14:textId="77777777" w:rsidR="0013156A" w:rsidRDefault="0013156A" w:rsidP="002A69D2">
      <w:pPr>
        <w:spacing w:after="0" w:line="240" w:lineRule="auto"/>
      </w:pPr>
      <w:r>
        <w:separator/>
      </w:r>
    </w:p>
  </w:endnote>
  <w:endnote w:type="continuationSeparator" w:id="0">
    <w:p w14:paraId="54A83C02" w14:textId="77777777" w:rsidR="0013156A" w:rsidRDefault="0013156A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6D80" w14:textId="77777777" w:rsidR="0013156A" w:rsidRDefault="0013156A" w:rsidP="002A69D2">
      <w:pPr>
        <w:spacing w:after="0" w:line="240" w:lineRule="auto"/>
      </w:pPr>
      <w:r>
        <w:separator/>
      </w:r>
    </w:p>
  </w:footnote>
  <w:footnote w:type="continuationSeparator" w:id="0">
    <w:p w14:paraId="3CAD86F3" w14:textId="77777777" w:rsidR="0013156A" w:rsidRDefault="0013156A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30F3"/>
    <w:multiLevelType w:val="multilevel"/>
    <w:tmpl w:val="20F4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941E9"/>
    <w:multiLevelType w:val="multilevel"/>
    <w:tmpl w:val="87E2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B3E58"/>
    <w:multiLevelType w:val="multilevel"/>
    <w:tmpl w:val="D9CA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59845905"/>
    <w:multiLevelType w:val="multilevel"/>
    <w:tmpl w:val="BFA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62ABD"/>
    <w:multiLevelType w:val="multilevel"/>
    <w:tmpl w:val="9448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4398">
    <w:abstractNumId w:val="3"/>
  </w:num>
  <w:num w:numId="2" w16cid:durableId="132600685">
    <w:abstractNumId w:val="5"/>
  </w:num>
  <w:num w:numId="3" w16cid:durableId="896622261">
    <w:abstractNumId w:val="4"/>
  </w:num>
  <w:num w:numId="4" w16cid:durableId="1866864396">
    <w:abstractNumId w:val="0"/>
  </w:num>
  <w:num w:numId="5" w16cid:durableId="101193954">
    <w:abstractNumId w:val="2"/>
  </w:num>
  <w:num w:numId="6" w16cid:durableId="105998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3317D"/>
    <w:rsid w:val="00046FAA"/>
    <w:rsid w:val="0005019E"/>
    <w:rsid w:val="00060DFE"/>
    <w:rsid w:val="00063658"/>
    <w:rsid w:val="00066726"/>
    <w:rsid w:val="00070D8A"/>
    <w:rsid w:val="0008552A"/>
    <w:rsid w:val="00096722"/>
    <w:rsid w:val="000B0D42"/>
    <w:rsid w:val="000B14C9"/>
    <w:rsid w:val="000B3185"/>
    <w:rsid w:val="000C1D6B"/>
    <w:rsid w:val="000E281B"/>
    <w:rsid w:val="000F2C56"/>
    <w:rsid w:val="000F57A0"/>
    <w:rsid w:val="001042DA"/>
    <w:rsid w:val="00112167"/>
    <w:rsid w:val="001130B3"/>
    <w:rsid w:val="00116E4D"/>
    <w:rsid w:val="00123C0D"/>
    <w:rsid w:val="0013156A"/>
    <w:rsid w:val="001369BF"/>
    <w:rsid w:val="001511FF"/>
    <w:rsid w:val="00153AEF"/>
    <w:rsid w:val="00155593"/>
    <w:rsid w:val="001A73AD"/>
    <w:rsid w:val="001A7EA4"/>
    <w:rsid w:val="001B0765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02AAA"/>
    <w:rsid w:val="00443E4C"/>
    <w:rsid w:val="0045414A"/>
    <w:rsid w:val="00460CD3"/>
    <w:rsid w:val="00460E0F"/>
    <w:rsid w:val="00463F0A"/>
    <w:rsid w:val="00464583"/>
    <w:rsid w:val="00466395"/>
    <w:rsid w:val="00474E0A"/>
    <w:rsid w:val="0049003E"/>
    <w:rsid w:val="00497C2A"/>
    <w:rsid w:val="004C01A3"/>
    <w:rsid w:val="004C232D"/>
    <w:rsid w:val="004E3380"/>
    <w:rsid w:val="004F0EAA"/>
    <w:rsid w:val="0050060A"/>
    <w:rsid w:val="00507FC6"/>
    <w:rsid w:val="00511304"/>
    <w:rsid w:val="005343D4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07E3F"/>
    <w:rsid w:val="0064105C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56AE1"/>
    <w:rsid w:val="00767AAF"/>
    <w:rsid w:val="007841EA"/>
    <w:rsid w:val="00797B07"/>
    <w:rsid w:val="00797F28"/>
    <w:rsid w:val="007A50E1"/>
    <w:rsid w:val="007C3B67"/>
    <w:rsid w:val="007F018B"/>
    <w:rsid w:val="007F3D20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70630"/>
    <w:rsid w:val="00887C0E"/>
    <w:rsid w:val="008A323D"/>
    <w:rsid w:val="008B0710"/>
    <w:rsid w:val="008B1A4E"/>
    <w:rsid w:val="008F0263"/>
    <w:rsid w:val="00972C19"/>
    <w:rsid w:val="00981741"/>
    <w:rsid w:val="00983BEE"/>
    <w:rsid w:val="009859AA"/>
    <w:rsid w:val="009C0075"/>
    <w:rsid w:val="009E1378"/>
    <w:rsid w:val="009E28AE"/>
    <w:rsid w:val="009E780D"/>
    <w:rsid w:val="00A0427A"/>
    <w:rsid w:val="00A13B11"/>
    <w:rsid w:val="00A70527"/>
    <w:rsid w:val="00AA4D79"/>
    <w:rsid w:val="00AD28AE"/>
    <w:rsid w:val="00AD5CA5"/>
    <w:rsid w:val="00AE70C1"/>
    <w:rsid w:val="00AF4DB7"/>
    <w:rsid w:val="00AF67FA"/>
    <w:rsid w:val="00B02194"/>
    <w:rsid w:val="00B101FB"/>
    <w:rsid w:val="00B103BA"/>
    <w:rsid w:val="00B157FF"/>
    <w:rsid w:val="00B24BDE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A43A7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1427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27FE0"/>
    <w:rsid w:val="00E360A2"/>
    <w:rsid w:val="00E56BBE"/>
    <w:rsid w:val="00E579F6"/>
    <w:rsid w:val="00E65797"/>
    <w:rsid w:val="00E74A85"/>
    <w:rsid w:val="00E81F89"/>
    <w:rsid w:val="00ED0E4A"/>
    <w:rsid w:val="00EF590C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4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0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Fontepargpadro"/>
    <w:uiPriority w:val="99"/>
    <w:unhideWhenUsed/>
    <w:rsid w:val="00460E0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0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2025-02-10T12:14:00Z</cp:lastPrinted>
  <dcterms:created xsi:type="dcterms:W3CDTF">2025-09-01T15:45:00Z</dcterms:created>
  <dcterms:modified xsi:type="dcterms:W3CDTF">2025-09-01T15:45:00Z</dcterms:modified>
</cp:coreProperties>
</file>