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2B4EAB6F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063658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063658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1CC9F8C8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EF590C">
        <w:rPr>
          <w:rFonts w:ascii="Arial" w:hAnsi="Arial" w:cs="Arial"/>
          <w:sz w:val="28"/>
          <w:szCs w:val="28"/>
        </w:rPr>
        <w:t>5</w:t>
      </w:r>
      <w:r w:rsidR="00E81F89">
        <w:rPr>
          <w:rFonts w:ascii="Arial" w:hAnsi="Arial" w:cs="Arial"/>
          <w:sz w:val="28"/>
          <w:szCs w:val="28"/>
        </w:rPr>
        <w:t>3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0187BA95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E81F89">
        <w:rPr>
          <w:rFonts w:ascii="Arial" w:hAnsi="Arial" w:cs="Arial"/>
          <w:sz w:val="28"/>
          <w:szCs w:val="28"/>
        </w:rPr>
        <w:t>47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E81F89">
        <w:rPr>
          <w:rFonts w:ascii="Arial" w:hAnsi="Arial" w:cs="Arial"/>
          <w:sz w:val="28"/>
          <w:szCs w:val="28"/>
        </w:rPr>
        <w:t>31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E81F89">
        <w:rPr>
          <w:rFonts w:ascii="Arial" w:hAnsi="Arial" w:cs="Arial"/>
          <w:sz w:val="28"/>
          <w:szCs w:val="28"/>
        </w:rPr>
        <w:t>julho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08C0CED2" w:rsidR="004C232D" w:rsidRPr="0064105C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50060A" w:rsidRPr="0050060A">
        <w:rPr>
          <w:rFonts w:ascii="Arial" w:hAnsi="Arial" w:cs="Arial"/>
          <w:bCs/>
          <w:sz w:val="28"/>
          <w:szCs w:val="28"/>
        </w:rPr>
        <w:t>Dispõe sobre o Plano Plurianual para o quadriênio 2026-2029</w:t>
      </w:r>
      <w:r w:rsidR="00460E0F" w:rsidRPr="00460E0F">
        <w:rPr>
          <w:rFonts w:ascii="Arial" w:hAnsi="Arial" w:cs="Arial"/>
          <w:bCs/>
          <w:sz w:val="28"/>
          <w:szCs w:val="28"/>
        </w:rPr>
        <w:t>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0D473108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460E0F">
        <w:rPr>
          <w:rFonts w:ascii="Arial" w:hAnsi="Arial" w:cs="Arial"/>
          <w:sz w:val="28"/>
          <w:szCs w:val="28"/>
        </w:rPr>
        <w:t>Lucas Justin</w:t>
      </w:r>
      <w:r w:rsidR="001B0765">
        <w:rPr>
          <w:rFonts w:ascii="Arial" w:hAnsi="Arial" w:cs="Arial"/>
          <w:sz w:val="28"/>
          <w:szCs w:val="28"/>
        </w:rPr>
        <w:t xml:space="preserve"> </w:t>
      </w:r>
      <w:r w:rsidR="001B0765" w:rsidRPr="001B0765">
        <w:rPr>
          <w:rFonts w:ascii="Arial" w:hAnsi="Arial" w:cs="Arial"/>
          <w:sz w:val="28"/>
          <w:szCs w:val="28"/>
        </w:rPr>
        <w:t xml:space="preserve">Vieira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2DC8BDD2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50060A" w:rsidRPr="0050060A">
        <w:rPr>
          <w:rFonts w:ascii="Times New Roman" w:hAnsi="Times New Roman" w:cs="Times New Roman"/>
          <w:i/>
          <w:iCs/>
          <w:sz w:val="28"/>
          <w:szCs w:val="28"/>
        </w:rPr>
        <w:t>Dispõe sobre o Plano Plurianual para o quadriênio 2026-2029 e dá outras providências.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E23DA9" w14:textId="6A9ED868" w:rsidR="00870630" w:rsidRPr="0050060A" w:rsidRDefault="00116E4D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64105C">
        <w:rPr>
          <w:rFonts w:ascii="Arial" w:hAnsi="Arial" w:cs="Arial"/>
          <w:sz w:val="28"/>
          <w:szCs w:val="28"/>
        </w:rPr>
        <w:t xml:space="preserve">O Projeto de Lei nº </w:t>
      </w:r>
      <w:r w:rsidR="0050060A">
        <w:rPr>
          <w:rFonts w:ascii="Arial" w:hAnsi="Arial" w:cs="Arial"/>
          <w:sz w:val="28"/>
          <w:szCs w:val="28"/>
        </w:rPr>
        <w:t>47</w:t>
      </w:r>
      <w:r w:rsidRPr="0064105C">
        <w:rPr>
          <w:rFonts w:ascii="Arial" w:hAnsi="Arial" w:cs="Arial"/>
          <w:sz w:val="28"/>
          <w:szCs w:val="28"/>
        </w:rPr>
        <w:t xml:space="preserve">, de </w:t>
      </w:r>
      <w:r w:rsidR="0050060A">
        <w:rPr>
          <w:rFonts w:ascii="Arial" w:hAnsi="Arial" w:cs="Arial"/>
          <w:sz w:val="28"/>
          <w:szCs w:val="28"/>
        </w:rPr>
        <w:t>31</w:t>
      </w:r>
      <w:r w:rsidRPr="0064105C">
        <w:rPr>
          <w:rFonts w:ascii="Arial" w:hAnsi="Arial" w:cs="Arial"/>
          <w:sz w:val="28"/>
          <w:szCs w:val="28"/>
        </w:rPr>
        <w:t xml:space="preserve"> de </w:t>
      </w:r>
      <w:r w:rsidR="0050060A">
        <w:rPr>
          <w:rFonts w:ascii="Arial" w:hAnsi="Arial" w:cs="Arial"/>
          <w:sz w:val="28"/>
          <w:szCs w:val="28"/>
        </w:rPr>
        <w:t>julho</w:t>
      </w:r>
      <w:r w:rsidRPr="0064105C">
        <w:rPr>
          <w:rFonts w:ascii="Arial" w:hAnsi="Arial" w:cs="Arial"/>
          <w:sz w:val="28"/>
          <w:szCs w:val="28"/>
        </w:rPr>
        <w:t xml:space="preserve"> de 2025, tem por finalidade </w:t>
      </w:r>
      <w:r w:rsidR="00870630" w:rsidRPr="0064105C">
        <w:rPr>
          <w:rFonts w:ascii="Arial" w:hAnsi="Arial" w:cs="Arial"/>
          <w:sz w:val="28"/>
          <w:szCs w:val="28"/>
        </w:rPr>
        <w:t xml:space="preserve">a </w:t>
      </w:r>
      <w:r w:rsidR="0064105C" w:rsidRPr="0064105C">
        <w:rPr>
          <w:rFonts w:ascii="Arial" w:hAnsi="Arial" w:cs="Arial"/>
          <w:sz w:val="28"/>
          <w:szCs w:val="28"/>
        </w:rPr>
        <w:t>alteração de dispositivo</w:t>
      </w:r>
      <w:r w:rsidR="00460E0F">
        <w:rPr>
          <w:rFonts w:ascii="Arial" w:hAnsi="Arial" w:cs="Arial"/>
          <w:sz w:val="28"/>
          <w:szCs w:val="28"/>
        </w:rPr>
        <w:t>s</w:t>
      </w:r>
      <w:r w:rsidR="0064105C" w:rsidRPr="0064105C">
        <w:rPr>
          <w:rFonts w:ascii="Arial" w:hAnsi="Arial" w:cs="Arial"/>
          <w:sz w:val="28"/>
          <w:szCs w:val="28"/>
        </w:rPr>
        <w:t xml:space="preserve"> da Lei 2.</w:t>
      </w:r>
      <w:r w:rsidR="00460E0F">
        <w:rPr>
          <w:rFonts w:ascii="Arial" w:hAnsi="Arial" w:cs="Arial"/>
          <w:sz w:val="28"/>
          <w:szCs w:val="28"/>
        </w:rPr>
        <w:t>378</w:t>
      </w:r>
      <w:r w:rsidR="0064105C" w:rsidRPr="0064105C">
        <w:rPr>
          <w:rFonts w:ascii="Arial" w:hAnsi="Arial" w:cs="Arial"/>
          <w:sz w:val="28"/>
          <w:szCs w:val="28"/>
        </w:rPr>
        <w:t>/20</w:t>
      </w:r>
      <w:r w:rsidR="00460E0F">
        <w:rPr>
          <w:rFonts w:ascii="Arial" w:hAnsi="Arial" w:cs="Arial"/>
          <w:sz w:val="28"/>
          <w:szCs w:val="28"/>
        </w:rPr>
        <w:t>18</w:t>
      </w:r>
      <w:r w:rsidR="0064105C">
        <w:rPr>
          <w:rFonts w:ascii="Arial" w:hAnsi="Arial" w:cs="Arial"/>
          <w:sz w:val="28"/>
          <w:szCs w:val="28"/>
        </w:rPr>
        <w:t>,</w:t>
      </w:r>
      <w:r w:rsidR="0064105C" w:rsidRPr="0064105C">
        <w:rPr>
          <w:rFonts w:ascii="Arial" w:hAnsi="Arial" w:cs="Arial"/>
          <w:sz w:val="28"/>
          <w:szCs w:val="28"/>
        </w:rPr>
        <w:t xml:space="preserve"> que dispõe </w:t>
      </w:r>
      <w:r w:rsidR="0050060A" w:rsidRPr="0050060A">
        <w:rPr>
          <w:rFonts w:ascii="Arial" w:hAnsi="Arial" w:cs="Arial"/>
          <w:sz w:val="28"/>
          <w:szCs w:val="28"/>
        </w:rPr>
        <w:t>sobre o Plano Plurianual para o quadriênio 2026-2029.</w:t>
      </w:r>
    </w:p>
    <w:p w14:paraId="118E3409" w14:textId="77777777" w:rsidR="00460E0F" w:rsidRDefault="00460E0F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1A17666" w14:textId="2E9E7F81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714C4CEF" w14:textId="587F7151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observância ao proposto PL, verifica-se que este atende aos princípios contidos na Magna Carta no tocante à </w:t>
      </w:r>
      <w:r>
        <w:rPr>
          <w:rFonts w:ascii="Arial" w:hAnsi="Arial" w:cs="Arial"/>
          <w:sz w:val="28"/>
          <w:szCs w:val="28"/>
        </w:rPr>
        <w:lastRenderedPageBreak/>
        <w:t xml:space="preserve">legalidade, publicidade e eficiência, não se descurando estar em consonância com o disposto no Art. 30, incisos I e </w:t>
      </w:r>
      <w:r w:rsidR="00460E0F">
        <w:rPr>
          <w:rFonts w:ascii="Arial" w:hAnsi="Arial" w:cs="Arial"/>
          <w:sz w:val="28"/>
          <w:szCs w:val="28"/>
        </w:rPr>
        <w:t>II</w:t>
      </w:r>
      <w:r>
        <w:rPr>
          <w:rFonts w:ascii="Arial" w:hAnsi="Arial" w:cs="Arial"/>
          <w:sz w:val="28"/>
          <w:szCs w:val="28"/>
        </w:rPr>
        <w:t xml:space="preserve"> e Art. 37</w:t>
      </w:r>
      <w:r w:rsidR="005B43E4">
        <w:rPr>
          <w:rFonts w:ascii="Arial" w:hAnsi="Arial" w:cs="Arial"/>
          <w:sz w:val="28"/>
          <w:szCs w:val="28"/>
        </w:rPr>
        <w:t>, caput.</w:t>
      </w:r>
      <w:r w:rsidR="00D61427">
        <w:rPr>
          <w:rFonts w:ascii="Arial" w:hAnsi="Arial" w:cs="Arial"/>
          <w:sz w:val="28"/>
          <w:szCs w:val="28"/>
        </w:rPr>
        <w:t xml:space="preserve"> </w:t>
      </w:r>
    </w:p>
    <w:p w14:paraId="223AB924" w14:textId="77777777" w:rsidR="00B103BA" w:rsidRDefault="00B103BA" w:rsidP="00B103B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3EE5E0E" w14:textId="6A54928A" w:rsidR="00B101FB" w:rsidRDefault="0050060A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sz w:val="28"/>
          <w:szCs w:val="28"/>
        </w:rPr>
        <w:t>O PPA encontra fundamento jurídico na Constituição Federal de 1988, que estabelece a obrigatoriedade da elaboração de planos plurianuais, leis de diretrizes orçamentárias e leis orçamentárias anuais (art. 165). Em âmbito infraconstitucional, a Lei Complementar nº 101/2000 (Lei de Responsabilidade Fiscal – LRF) reforça a necessidade de planejamento fiscal responsável, impondo limites de despesa, regras de transparência e metas fiscais. Ademais, a Lei Orgânica Municipal e a Lei de Diretrizes Orçamentárias vigente servem de parâmetros locais obrigatórios.</w:t>
      </w:r>
    </w:p>
    <w:p w14:paraId="572A2AFC" w14:textId="77777777" w:rsidR="0050060A" w:rsidRDefault="0050060A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010A9DE" w14:textId="492FF748" w:rsidR="0050060A" w:rsidRDefault="0050060A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sz w:val="28"/>
          <w:szCs w:val="28"/>
        </w:rPr>
        <w:t>O projeto em análise institui programas, objetivos, diretrizes e metas a serem observados durante o quadriênio 2026-2029, estruturando-os em:</w:t>
      </w:r>
    </w:p>
    <w:p w14:paraId="1F947C13" w14:textId="77777777" w:rsidR="0050060A" w:rsidRPr="0050060A" w:rsidRDefault="0050060A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A515315" w14:textId="77777777" w:rsidR="0050060A" w:rsidRPr="0050060A" w:rsidRDefault="0050060A" w:rsidP="0050060A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b/>
          <w:bCs/>
          <w:sz w:val="28"/>
          <w:szCs w:val="28"/>
        </w:rPr>
        <w:t>Programas finalísticos</w:t>
      </w:r>
      <w:r w:rsidRPr="0050060A">
        <w:rPr>
          <w:rFonts w:ascii="Arial" w:hAnsi="Arial" w:cs="Arial"/>
          <w:sz w:val="28"/>
          <w:szCs w:val="28"/>
        </w:rPr>
        <w:t>, voltados à entrega de bens e serviços à sociedade;</w:t>
      </w:r>
    </w:p>
    <w:p w14:paraId="4CED37A0" w14:textId="77777777" w:rsidR="0050060A" w:rsidRPr="0050060A" w:rsidRDefault="0050060A" w:rsidP="0050060A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b/>
          <w:bCs/>
          <w:sz w:val="28"/>
          <w:szCs w:val="28"/>
        </w:rPr>
        <w:t>Programas de gestão e manutenção de serviços</w:t>
      </w:r>
      <w:r w:rsidRPr="0050060A">
        <w:rPr>
          <w:rFonts w:ascii="Arial" w:hAnsi="Arial" w:cs="Arial"/>
          <w:sz w:val="28"/>
          <w:szCs w:val="28"/>
        </w:rPr>
        <w:t>, relacionados às funções administrativas do Município;</w:t>
      </w:r>
    </w:p>
    <w:p w14:paraId="437BDDA6" w14:textId="77777777" w:rsidR="0050060A" w:rsidRPr="0050060A" w:rsidRDefault="0050060A" w:rsidP="0050060A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b/>
          <w:bCs/>
          <w:sz w:val="28"/>
          <w:szCs w:val="28"/>
        </w:rPr>
        <w:t>Encargos especiais</w:t>
      </w:r>
      <w:r w:rsidRPr="0050060A">
        <w:rPr>
          <w:rFonts w:ascii="Arial" w:hAnsi="Arial" w:cs="Arial"/>
          <w:sz w:val="28"/>
          <w:szCs w:val="28"/>
        </w:rPr>
        <w:t>, de caráter orçamentário.</w:t>
      </w:r>
    </w:p>
    <w:p w14:paraId="32817B2C" w14:textId="77777777" w:rsidR="0050060A" w:rsidRDefault="0050060A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1F3120F" w14:textId="1E68B8AD" w:rsidR="0050060A" w:rsidRDefault="0050060A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sz w:val="28"/>
          <w:szCs w:val="28"/>
        </w:rPr>
        <w:t xml:space="preserve">Constam também anexos e tabelas informativas, que incluem estimativas de receitas, limites de gastos com pessoal, projeções de recursos vinculados a áreas essenciais (educação, </w:t>
      </w:r>
      <w:r w:rsidRPr="0050060A">
        <w:rPr>
          <w:rFonts w:ascii="Arial" w:hAnsi="Arial" w:cs="Arial"/>
          <w:sz w:val="28"/>
          <w:szCs w:val="28"/>
        </w:rPr>
        <w:lastRenderedPageBreak/>
        <w:t>saúde, assistência social e previdência), bem como consolidação global de valores.</w:t>
      </w:r>
    </w:p>
    <w:p w14:paraId="56B204E3" w14:textId="77777777" w:rsidR="0050060A" w:rsidRDefault="0050060A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50E99EE" w14:textId="23D71827" w:rsidR="0050060A" w:rsidRPr="007F3D20" w:rsidRDefault="0050060A" w:rsidP="007F3D2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50060A">
        <w:rPr>
          <w:rFonts w:ascii="Arial" w:hAnsi="Arial" w:cs="Arial"/>
          <w:sz w:val="28"/>
          <w:szCs w:val="28"/>
        </w:rPr>
        <w:t xml:space="preserve">O projeto apresenta-se formalmente legal e constitucional, </w:t>
      </w:r>
      <w:r w:rsidRPr="007F3D20">
        <w:rPr>
          <w:rFonts w:ascii="Arial" w:hAnsi="Arial" w:cs="Arial"/>
          <w:sz w:val="28"/>
          <w:szCs w:val="28"/>
        </w:rPr>
        <w:t>c</w:t>
      </w:r>
      <w:r w:rsidRPr="0050060A">
        <w:rPr>
          <w:rFonts w:ascii="Arial" w:hAnsi="Arial" w:cs="Arial"/>
          <w:sz w:val="28"/>
          <w:szCs w:val="28"/>
        </w:rPr>
        <w:t>umpr</w:t>
      </w:r>
      <w:r w:rsidRPr="007F3D20">
        <w:rPr>
          <w:rFonts w:ascii="Arial" w:hAnsi="Arial" w:cs="Arial"/>
          <w:sz w:val="28"/>
          <w:szCs w:val="28"/>
        </w:rPr>
        <w:t>indo</w:t>
      </w:r>
      <w:r w:rsidRPr="0050060A">
        <w:rPr>
          <w:rFonts w:ascii="Arial" w:hAnsi="Arial" w:cs="Arial"/>
          <w:sz w:val="28"/>
          <w:szCs w:val="28"/>
        </w:rPr>
        <w:t xml:space="preserve"> o requisito de iniciativa privativa do Poder Executivo para a matéria orçamentária, conforme previsto na Constituição Federal e reproduzido na Lei Orgânica Municipal</w:t>
      </w:r>
      <w:r w:rsidR="007F3D20" w:rsidRPr="007F3D20">
        <w:rPr>
          <w:rFonts w:ascii="Arial" w:hAnsi="Arial" w:cs="Arial"/>
          <w:sz w:val="28"/>
          <w:szCs w:val="28"/>
        </w:rPr>
        <w:t>, além de o</w:t>
      </w:r>
      <w:r w:rsidRPr="0050060A">
        <w:rPr>
          <w:rFonts w:ascii="Arial" w:hAnsi="Arial" w:cs="Arial"/>
          <w:sz w:val="28"/>
          <w:szCs w:val="28"/>
        </w:rPr>
        <w:t>bserv</w:t>
      </w:r>
      <w:r w:rsidR="007F3D20" w:rsidRPr="007F3D20">
        <w:rPr>
          <w:rFonts w:ascii="Arial" w:hAnsi="Arial" w:cs="Arial"/>
          <w:sz w:val="28"/>
          <w:szCs w:val="28"/>
        </w:rPr>
        <w:t>ância</w:t>
      </w:r>
      <w:r w:rsidRPr="0050060A">
        <w:rPr>
          <w:rFonts w:ascii="Arial" w:hAnsi="Arial" w:cs="Arial"/>
          <w:sz w:val="28"/>
          <w:szCs w:val="28"/>
        </w:rPr>
        <w:t xml:space="preserve"> </w:t>
      </w:r>
      <w:r w:rsidR="007F3D20" w:rsidRPr="007F3D20">
        <w:rPr>
          <w:rFonts w:ascii="Arial" w:hAnsi="Arial" w:cs="Arial"/>
          <w:sz w:val="28"/>
          <w:szCs w:val="28"/>
        </w:rPr>
        <w:t>d</w:t>
      </w:r>
      <w:r w:rsidRPr="0050060A">
        <w:rPr>
          <w:rFonts w:ascii="Arial" w:hAnsi="Arial" w:cs="Arial"/>
          <w:sz w:val="28"/>
          <w:szCs w:val="28"/>
        </w:rPr>
        <w:t>a exigência constitucional de que o PPA contemple despesas de capital e programas de duração continuada</w:t>
      </w:r>
      <w:r w:rsidR="007F3D20" w:rsidRPr="007F3D20">
        <w:rPr>
          <w:rFonts w:ascii="Arial" w:hAnsi="Arial" w:cs="Arial"/>
          <w:sz w:val="28"/>
          <w:szCs w:val="28"/>
        </w:rPr>
        <w:t>, previsão de</w:t>
      </w:r>
      <w:r w:rsidRPr="0050060A">
        <w:rPr>
          <w:rFonts w:ascii="Arial" w:hAnsi="Arial" w:cs="Arial"/>
          <w:sz w:val="28"/>
          <w:szCs w:val="28"/>
        </w:rPr>
        <w:t xml:space="preserve"> mecanismos de acompanhamento e avaliação, em consonância com a transparência fiscal exigida pela LRF</w:t>
      </w:r>
      <w:r w:rsidR="007F3D20" w:rsidRPr="007F3D20">
        <w:rPr>
          <w:rFonts w:ascii="Arial" w:hAnsi="Arial" w:cs="Arial"/>
          <w:sz w:val="28"/>
          <w:szCs w:val="28"/>
        </w:rPr>
        <w:t>, p</w:t>
      </w:r>
      <w:r w:rsidRPr="0050060A">
        <w:rPr>
          <w:rFonts w:ascii="Arial" w:hAnsi="Arial" w:cs="Arial"/>
          <w:sz w:val="28"/>
          <w:szCs w:val="28"/>
        </w:rPr>
        <w:t>ermit</w:t>
      </w:r>
      <w:r w:rsidR="007F3D20" w:rsidRPr="007F3D20">
        <w:rPr>
          <w:rFonts w:ascii="Arial" w:hAnsi="Arial" w:cs="Arial"/>
          <w:sz w:val="28"/>
          <w:szCs w:val="28"/>
        </w:rPr>
        <w:t>indo</w:t>
      </w:r>
      <w:r w:rsidRPr="0050060A">
        <w:rPr>
          <w:rFonts w:ascii="Arial" w:hAnsi="Arial" w:cs="Arial"/>
          <w:sz w:val="28"/>
          <w:szCs w:val="28"/>
        </w:rPr>
        <w:t xml:space="preserve"> a alteração de programas e metas mediante lei específica, respeitando o princípio da reserva legal orçamentária</w:t>
      </w:r>
      <w:r w:rsidR="007F3D20" w:rsidRPr="007F3D20">
        <w:rPr>
          <w:rFonts w:ascii="Arial" w:hAnsi="Arial" w:cs="Arial"/>
          <w:sz w:val="28"/>
          <w:szCs w:val="28"/>
        </w:rPr>
        <w:t xml:space="preserve"> e, i</w:t>
      </w:r>
      <w:r w:rsidRPr="0050060A">
        <w:rPr>
          <w:rFonts w:ascii="Arial" w:hAnsi="Arial" w:cs="Arial"/>
          <w:sz w:val="28"/>
          <w:szCs w:val="28"/>
        </w:rPr>
        <w:t>nclui</w:t>
      </w:r>
      <w:r w:rsidR="007F3D20" w:rsidRPr="007F3D20">
        <w:rPr>
          <w:rFonts w:ascii="Arial" w:hAnsi="Arial" w:cs="Arial"/>
          <w:sz w:val="28"/>
          <w:szCs w:val="28"/>
        </w:rPr>
        <w:t>ndo</w:t>
      </w:r>
      <w:r w:rsidRPr="0050060A">
        <w:rPr>
          <w:rFonts w:ascii="Arial" w:hAnsi="Arial" w:cs="Arial"/>
          <w:sz w:val="28"/>
          <w:szCs w:val="28"/>
        </w:rPr>
        <w:t xml:space="preserve"> diretrizes específicas para áreas vinculadas constitucionalmente (educação e saúde), atendendo aos mínimos constitucionais de aplicação.</w:t>
      </w:r>
    </w:p>
    <w:p w14:paraId="0B825295" w14:textId="77777777" w:rsidR="007F3D20" w:rsidRDefault="007F3D20" w:rsidP="007F3D2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8AF47CC" w14:textId="7AFA320C" w:rsidR="007F3D20" w:rsidRPr="007F3D20" w:rsidRDefault="007F3D20" w:rsidP="007F3D2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7F3D20">
        <w:rPr>
          <w:rFonts w:ascii="Arial" w:hAnsi="Arial" w:cs="Arial"/>
          <w:sz w:val="28"/>
          <w:szCs w:val="28"/>
        </w:rPr>
        <w:t>Outrossim, os</w:t>
      </w:r>
      <w:r w:rsidRPr="007F3D20">
        <w:rPr>
          <w:rFonts w:ascii="Arial" w:hAnsi="Arial" w:cs="Arial"/>
          <w:sz w:val="28"/>
          <w:szCs w:val="28"/>
        </w:rPr>
        <w:t xml:space="preserve"> anexos encaminhados detalham receitas, despesas e prioridades, evidenciando a compatibilidade do planejamento plurianual com a capacidade financeira e arrecadatória do Município</w:t>
      </w:r>
      <w:r w:rsidRPr="007F3D20">
        <w:rPr>
          <w:rFonts w:ascii="Arial" w:hAnsi="Arial" w:cs="Arial"/>
          <w:sz w:val="28"/>
          <w:szCs w:val="28"/>
        </w:rPr>
        <w:t>, c</w:t>
      </w:r>
      <w:r w:rsidRPr="007F3D20">
        <w:rPr>
          <w:rFonts w:ascii="Arial" w:hAnsi="Arial" w:cs="Arial"/>
          <w:sz w:val="28"/>
          <w:szCs w:val="28"/>
        </w:rPr>
        <w:t>lareza na estimativa de receitas e receitas correntes líquidas, fundamental para dar respaldo às metas fiscais</w:t>
      </w:r>
      <w:r w:rsidRPr="007F3D20">
        <w:rPr>
          <w:rFonts w:ascii="Arial" w:hAnsi="Arial" w:cs="Arial"/>
          <w:sz w:val="28"/>
          <w:szCs w:val="28"/>
        </w:rPr>
        <w:t>; d</w:t>
      </w:r>
      <w:r w:rsidRPr="007F3D20">
        <w:rPr>
          <w:rFonts w:ascii="Arial" w:hAnsi="Arial" w:cs="Arial"/>
          <w:sz w:val="28"/>
          <w:szCs w:val="28"/>
        </w:rPr>
        <w:t>iscriminação dos limites de gasto com pessoal do Executivo e Legislativo, em harmonia com a LRF</w:t>
      </w:r>
      <w:r w:rsidRPr="007F3D20">
        <w:rPr>
          <w:rFonts w:ascii="Arial" w:hAnsi="Arial" w:cs="Arial"/>
          <w:sz w:val="28"/>
          <w:szCs w:val="28"/>
        </w:rPr>
        <w:t>; d</w:t>
      </w:r>
      <w:r w:rsidRPr="007F3D20">
        <w:rPr>
          <w:rFonts w:ascii="Arial" w:hAnsi="Arial" w:cs="Arial"/>
          <w:sz w:val="28"/>
          <w:szCs w:val="28"/>
        </w:rPr>
        <w:t>estinação proporcional de recursos vinculados às áreas essenciais (Educação, Saúde, Assistência Social e RPPS)</w:t>
      </w:r>
      <w:r w:rsidRPr="007F3D20">
        <w:rPr>
          <w:rFonts w:ascii="Arial" w:hAnsi="Arial" w:cs="Arial"/>
          <w:sz w:val="28"/>
          <w:szCs w:val="28"/>
        </w:rPr>
        <w:t>; bem como c</w:t>
      </w:r>
      <w:r w:rsidRPr="007F3D20">
        <w:rPr>
          <w:rFonts w:ascii="Arial" w:hAnsi="Arial" w:cs="Arial"/>
          <w:sz w:val="28"/>
          <w:szCs w:val="28"/>
        </w:rPr>
        <w:t>onsolidação global dos valores, possibilitando maior transparência e controle social.</w:t>
      </w:r>
    </w:p>
    <w:p w14:paraId="15DB4EF8" w14:textId="24707E5F" w:rsidR="007F3D20" w:rsidRPr="0050060A" w:rsidRDefault="007F3D20" w:rsidP="007F3D2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Diante do exposto, o</w:t>
      </w:r>
      <w:r w:rsidRPr="007F3D20">
        <w:rPr>
          <w:rFonts w:ascii="Arial" w:hAnsi="Arial" w:cs="Arial"/>
          <w:sz w:val="28"/>
          <w:szCs w:val="28"/>
        </w:rPr>
        <w:t xml:space="preserve"> Projeto de Lei nº 47/2025 mostra-se </w:t>
      </w:r>
      <w:r w:rsidRPr="007F3D20">
        <w:rPr>
          <w:rFonts w:ascii="Arial" w:hAnsi="Arial" w:cs="Arial"/>
          <w:b/>
          <w:bCs/>
          <w:sz w:val="28"/>
          <w:szCs w:val="28"/>
        </w:rPr>
        <w:t>juridicamente viável, constitucional e legal</w:t>
      </w:r>
      <w:r w:rsidRPr="007F3D20">
        <w:rPr>
          <w:rFonts w:ascii="Arial" w:hAnsi="Arial" w:cs="Arial"/>
          <w:sz w:val="28"/>
          <w:szCs w:val="28"/>
        </w:rPr>
        <w:t>, atendendo aos ditames da Constituição Federal, da LRF e da legislação municipal. Os anexos do PPA demonstram compatibilidade entre planejamento e capacidade financeira do Município, garantindo transparência e observância dos limites constitucionais de gasto.</w:t>
      </w:r>
    </w:p>
    <w:p w14:paraId="6B30E77B" w14:textId="77777777" w:rsidR="0050060A" w:rsidRPr="0050060A" w:rsidRDefault="0050060A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8AA1676" w14:textId="77777777" w:rsidR="0050060A" w:rsidRDefault="0050060A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B55071" w14:textId="77777777" w:rsidR="003E0BAF" w:rsidRDefault="003E0BAF" w:rsidP="00A70527">
      <w:pPr>
        <w:rPr>
          <w:rFonts w:ascii="Arial" w:hAnsi="Arial" w:cs="Arial"/>
          <w:b/>
          <w:bCs/>
          <w:sz w:val="32"/>
          <w:szCs w:val="32"/>
        </w:rPr>
      </w:pPr>
    </w:p>
    <w:p w14:paraId="1FCE5113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7AC95396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2F697EE7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22374C51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0C8D5F66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4D0ED5C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6E1694C2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A3FDAD4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1D7E4F2B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231BBC15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1B41AFF6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5102BCB9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710D7D49" w14:textId="77777777" w:rsidR="007F3D20" w:rsidRDefault="007F3D20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269DCF21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7F3D20">
        <w:rPr>
          <w:rFonts w:ascii="Arial" w:hAnsi="Arial" w:cs="Arial"/>
          <w:sz w:val="28"/>
          <w:szCs w:val="28"/>
        </w:rPr>
        <w:t>29</w:t>
      </w:r>
      <w:r w:rsidR="009817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03317D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5919D44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6732C63D" w:rsidR="00C02D3D" w:rsidRPr="006556E4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sectPr w:rsidR="00C02D3D" w:rsidRPr="006556E4" w:rsidSect="00511304">
      <w:headerReference w:type="default" r:id="rId7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5579" w14:textId="77777777" w:rsidR="0013156A" w:rsidRDefault="0013156A" w:rsidP="002A69D2">
      <w:pPr>
        <w:spacing w:after="0" w:line="240" w:lineRule="auto"/>
      </w:pPr>
      <w:r>
        <w:separator/>
      </w:r>
    </w:p>
  </w:endnote>
  <w:endnote w:type="continuationSeparator" w:id="0">
    <w:p w14:paraId="54A83C02" w14:textId="77777777" w:rsidR="0013156A" w:rsidRDefault="0013156A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6D80" w14:textId="77777777" w:rsidR="0013156A" w:rsidRDefault="0013156A" w:rsidP="002A69D2">
      <w:pPr>
        <w:spacing w:after="0" w:line="240" w:lineRule="auto"/>
      </w:pPr>
      <w:r>
        <w:separator/>
      </w:r>
    </w:p>
  </w:footnote>
  <w:footnote w:type="continuationSeparator" w:id="0">
    <w:p w14:paraId="3CAD86F3" w14:textId="77777777" w:rsidR="0013156A" w:rsidRDefault="0013156A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30F3"/>
    <w:multiLevelType w:val="multilevel"/>
    <w:tmpl w:val="20F4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B3E58"/>
    <w:multiLevelType w:val="multilevel"/>
    <w:tmpl w:val="D9CA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59845905"/>
    <w:multiLevelType w:val="multilevel"/>
    <w:tmpl w:val="BFA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62ABD"/>
    <w:multiLevelType w:val="multilevel"/>
    <w:tmpl w:val="9448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4398">
    <w:abstractNumId w:val="2"/>
  </w:num>
  <w:num w:numId="2" w16cid:durableId="132600685">
    <w:abstractNumId w:val="4"/>
  </w:num>
  <w:num w:numId="3" w16cid:durableId="896622261">
    <w:abstractNumId w:val="3"/>
  </w:num>
  <w:num w:numId="4" w16cid:durableId="1866864396">
    <w:abstractNumId w:val="0"/>
  </w:num>
  <w:num w:numId="5" w16cid:durableId="10119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3317D"/>
    <w:rsid w:val="00046FAA"/>
    <w:rsid w:val="0005019E"/>
    <w:rsid w:val="00060DFE"/>
    <w:rsid w:val="00063658"/>
    <w:rsid w:val="00066726"/>
    <w:rsid w:val="00070D8A"/>
    <w:rsid w:val="0008552A"/>
    <w:rsid w:val="00096722"/>
    <w:rsid w:val="000B0D42"/>
    <w:rsid w:val="000B14C9"/>
    <w:rsid w:val="000B3185"/>
    <w:rsid w:val="000C1D6B"/>
    <w:rsid w:val="000E281B"/>
    <w:rsid w:val="000F2C56"/>
    <w:rsid w:val="000F57A0"/>
    <w:rsid w:val="001042DA"/>
    <w:rsid w:val="00112167"/>
    <w:rsid w:val="001130B3"/>
    <w:rsid w:val="00116E4D"/>
    <w:rsid w:val="00123C0D"/>
    <w:rsid w:val="0013156A"/>
    <w:rsid w:val="001369BF"/>
    <w:rsid w:val="001511FF"/>
    <w:rsid w:val="00153AEF"/>
    <w:rsid w:val="00155593"/>
    <w:rsid w:val="001A73AD"/>
    <w:rsid w:val="001A7EA4"/>
    <w:rsid w:val="001B0765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0E0F"/>
    <w:rsid w:val="00463F0A"/>
    <w:rsid w:val="00464583"/>
    <w:rsid w:val="00466395"/>
    <w:rsid w:val="00474E0A"/>
    <w:rsid w:val="0049003E"/>
    <w:rsid w:val="00497C2A"/>
    <w:rsid w:val="004C01A3"/>
    <w:rsid w:val="004C232D"/>
    <w:rsid w:val="004E3380"/>
    <w:rsid w:val="004F0EAA"/>
    <w:rsid w:val="0050060A"/>
    <w:rsid w:val="00507FC6"/>
    <w:rsid w:val="00511304"/>
    <w:rsid w:val="005343D4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07E3F"/>
    <w:rsid w:val="0064105C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67AAF"/>
    <w:rsid w:val="007841EA"/>
    <w:rsid w:val="00797B07"/>
    <w:rsid w:val="00797F28"/>
    <w:rsid w:val="007A50E1"/>
    <w:rsid w:val="007C3B67"/>
    <w:rsid w:val="007F018B"/>
    <w:rsid w:val="007F3D20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70630"/>
    <w:rsid w:val="00887C0E"/>
    <w:rsid w:val="008A323D"/>
    <w:rsid w:val="008B0710"/>
    <w:rsid w:val="008B1A4E"/>
    <w:rsid w:val="008F0263"/>
    <w:rsid w:val="00972C19"/>
    <w:rsid w:val="00981741"/>
    <w:rsid w:val="00983BEE"/>
    <w:rsid w:val="009859AA"/>
    <w:rsid w:val="009C0075"/>
    <w:rsid w:val="009E1378"/>
    <w:rsid w:val="009E28AE"/>
    <w:rsid w:val="009E780D"/>
    <w:rsid w:val="00A0427A"/>
    <w:rsid w:val="00A13B11"/>
    <w:rsid w:val="00A70527"/>
    <w:rsid w:val="00AA4D79"/>
    <w:rsid w:val="00AD28AE"/>
    <w:rsid w:val="00AD5CA5"/>
    <w:rsid w:val="00AE70C1"/>
    <w:rsid w:val="00AF4DB7"/>
    <w:rsid w:val="00AF67FA"/>
    <w:rsid w:val="00B02194"/>
    <w:rsid w:val="00B101FB"/>
    <w:rsid w:val="00B103BA"/>
    <w:rsid w:val="00B157FF"/>
    <w:rsid w:val="00B24BDE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A43A7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1427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27FE0"/>
    <w:rsid w:val="00E360A2"/>
    <w:rsid w:val="00E56BBE"/>
    <w:rsid w:val="00E579F6"/>
    <w:rsid w:val="00E65797"/>
    <w:rsid w:val="00E74A85"/>
    <w:rsid w:val="00E81F89"/>
    <w:rsid w:val="00ED0E4A"/>
    <w:rsid w:val="00EF590C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4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0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Fontepargpadro"/>
    <w:uiPriority w:val="99"/>
    <w:unhideWhenUsed/>
    <w:rsid w:val="00460E0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0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645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2025-02-10T12:14:00Z</cp:lastPrinted>
  <dcterms:created xsi:type="dcterms:W3CDTF">2025-09-01T15:08:00Z</dcterms:created>
  <dcterms:modified xsi:type="dcterms:W3CDTF">2025-09-01T15:08:00Z</dcterms:modified>
</cp:coreProperties>
</file>