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2B4EAB6F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063658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063658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1599EBBE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5517A1">
        <w:rPr>
          <w:rFonts w:ascii="Arial" w:hAnsi="Arial" w:cs="Arial"/>
          <w:sz w:val="28"/>
          <w:szCs w:val="28"/>
        </w:rPr>
        <w:t>51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23C7354F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Projeto de Lei</w:t>
      </w:r>
      <w:r w:rsidR="005517A1">
        <w:rPr>
          <w:rFonts w:ascii="Arial" w:hAnsi="Arial" w:cs="Arial"/>
          <w:b/>
          <w:bCs/>
          <w:sz w:val="28"/>
          <w:szCs w:val="28"/>
        </w:rPr>
        <w:t xml:space="preserve"> Complementar</w:t>
      </w:r>
      <w:r w:rsidRPr="00F3140D">
        <w:rPr>
          <w:rFonts w:ascii="Arial" w:hAnsi="Arial" w:cs="Arial"/>
          <w:b/>
          <w:bCs/>
          <w:sz w:val="28"/>
          <w:szCs w:val="28"/>
        </w:rPr>
        <w:t xml:space="preserve">: </w:t>
      </w:r>
      <w:r w:rsidR="005517A1" w:rsidRPr="005517A1">
        <w:rPr>
          <w:rFonts w:ascii="Arial" w:hAnsi="Arial" w:cs="Arial"/>
          <w:sz w:val="28"/>
          <w:szCs w:val="28"/>
        </w:rPr>
        <w:t>02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BF17A7">
        <w:rPr>
          <w:rFonts w:ascii="Arial" w:hAnsi="Arial" w:cs="Arial"/>
          <w:sz w:val="28"/>
          <w:szCs w:val="28"/>
        </w:rPr>
        <w:t>1</w:t>
      </w:r>
      <w:r w:rsidR="005517A1">
        <w:rPr>
          <w:rFonts w:ascii="Arial" w:hAnsi="Arial" w:cs="Arial"/>
          <w:sz w:val="28"/>
          <w:szCs w:val="28"/>
        </w:rPr>
        <w:t>8</w:t>
      </w:r>
      <w:r w:rsidRPr="00F3140D">
        <w:rPr>
          <w:rFonts w:ascii="Arial" w:hAnsi="Arial" w:cs="Arial"/>
          <w:sz w:val="28"/>
          <w:szCs w:val="28"/>
        </w:rPr>
        <w:t xml:space="preserve"> de j</w:t>
      </w:r>
      <w:r w:rsidR="00797B07">
        <w:rPr>
          <w:rFonts w:ascii="Arial" w:hAnsi="Arial" w:cs="Arial"/>
          <w:sz w:val="28"/>
          <w:szCs w:val="28"/>
        </w:rPr>
        <w:t>ulho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7C8395CA" w:rsidR="004C232D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5517A1">
        <w:rPr>
          <w:rFonts w:ascii="Arial" w:hAnsi="Arial" w:cs="Arial"/>
          <w:sz w:val="28"/>
          <w:szCs w:val="28"/>
        </w:rPr>
        <w:t>P</w:t>
      </w:r>
      <w:r w:rsidR="005517A1" w:rsidRPr="005517A1">
        <w:rPr>
          <w:rFonts w:ascii="Arial" w:hAnsi="Arial" w:cs="Arial"/>
          <w:bCs/>
          <w:sz w:val="28"/>
          <w:szCs w:val="28"/>
        </w:rPr>
        <w:t>ropõe alterações na Lei Complementar nº 06/2023, que trata da concessão de isenção de IPTU e ITBI vinculada à implementação de infraestrutura em loteamentos e condomínios.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267372D5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3F685E" w:rsidRPr="003F685E">
        <w:rPr>
          <w:rFonts w:ascii="Arial" w:hAnsi="Arial" w:cs="Arial"/>
          <w:sz w:val="28"/>
          <w:szCs w:val="28"/>
        </w:rPr>
        <w:t>Lucas Justin Vieira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195E7563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5517A1" w:rsidRPr="005517A1">
        <w:rPr>
          <w:rFonts w:ascii="Times New Roman" w:hAnsi="Times New Roman" w:cs="Times New Roman"/>
          <w:i/>
          <w:iCs/>
          <w:sz w:val="28"/>
          <w:szCs w:val="28"/>
        </w:rPr>
        <w:t>ALTERA O § 1º DO ART 2º, ALTERA O ART. 5º E REVOGA E DÁ NOVA REDAÇÃO AO ART. 6º, DA LEI COMPLEMETAR Nº 06 DE 26 DE SETEMBRO DE 2023, QUE CONCEDE ISENÇÃO DE IPTU E ITBI, CONDICIONADA À IMPLEMENTAÇÃO DE INFRAESTRUTURA A IMÓVEIS DE LOTEAMENTOS E CONDOMÍNIOS, E DÁ OUTRAS PROVIDÊNCIAS</w:t>
      </w:r>
      <w:r w:rsidR="00797B07" w:rsidRPr="00797B0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F5E2B0B" w14:textId="737B70B7" w:rsidR="00F97B1E" w:rsidRPr="00F97B1E" w:rsidRDefault="00313FA5" w:rsidP="001C5DF9">
      <w:pPr>
        <w:spacing w:after="0" w:line="360" w:lineRule="auto"/>
        <w:ind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313FA5">
        <w:rPr>
          <w:rFonts w:ascii="Arial" w:hAnsi="Arial" w:cs="Arial"/>
          <w:sz w:val="28"/>
          <w:szCs w:val="28"/>
        </w:rPr>
        <w:t>O Projeto de Lei Complementar nº 02/2025, de iniciativa do Executivo Municipal, altera dispositivos da Lei Complementar nº 06/2023, modificando prazos e condições de isenção de IPTU e ITBI concedidos a empresas loteadoras, incorporadoras e aos primeiros adquirentes de imóveis.</w:t>
      </w:r>
    </w:p>
    <w:p w14:paraId="772C4EA5" w14:textId="77777777" w:rsidR="002B1F6F" w:rsidRDefault="002B1F6F" w:rsidP="00460CD3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p w14:paraId="61A17666" w14:textId="4FA7E5E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lastRenderedPageBreak/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714C4CEF" w14:textId="0A4AE835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publicidade e eficiência, não se descurando estar em consonância com o disposto no Art. 30, incisos I e III e Art. 37</w:t>
      </w:r>
      <w:r w:rsidR="005B43E4">
        <w:rPr>
          <w:rFonts w:ascii="Arial" w:hAnsi="Arial" w:cs="Arial"/>
          <w:sz w:val="28"/>
          <w:szCs w:val="28"/>
        </w:rPr>
        <w:t>, caput.</w:t>
      </w:r>
    </w:p>
    <w:p w14:paraId="17306C3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4A361A1" w14:textId="77777777" w:rsidR="001C5DF9" w:rsidRDefault="001C5DF9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1C5DF9">
        <w:rPr>
          <w:rFonts w:ascii="Arial" w:hAnsi="Arial" w:cs="Arial"/>
          <w:sz w:val="28"/>
          <w:szCs w:val="28"/>
        </w:rPr>
        <w:t>Ainda, a Constituição Federal, em seu art. 156, inciso II, atribui aos Municípios a instituição do ITBI, bem como a possibilidade de dispor sobre hipóteses de isenção, nos termos de sua legislação local.</w:t>
      </w:r>
    </w:p>
    <w:p w14:paraId="0E2AAE3D" w14:textId="77777777" w:rsidR="003E0BAF" w:rsidRDefault="003E0BAF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EB88F85" w14:textId="3404F999" w:rsidR="003E0BAF" w:rsidRPr="001C5DF9" w:rsidRDefault="003E0BAF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Além disso a</w:t>
      </w:r>
      <w:r w:rsidRPr="003E0BAF">
        <w:rPr>
          <w:rFonts w:ascii="Arial" w:hAnsi="Arial" w:cs="Arial"/>
          <w:sz w:val="28"/>
          <w:szCs w:val="28"/>
        </w:rPr>
        <w:t xml:space="preserve"> </w:t>
      </w:r>
      <w:r w:rsidRPr="003E0BAF">
        <w:rPr>
          <w:rFonts w:ascii="Arial" w:hAnsi="Arial" w:cs="Arial"/>
          <w:b/>
          <w:bCs/>
          <w:sz w:val="28"/>
          <w:szCs w:val="28"/>
        </w:rPr>
        <w:t>Lei Orgânica do Município de Terra de Areia</w:t>
      </w:r>
      <w:r w:rsidRPr="003E0BAF">
        <w:rPr>
          <w:rFonts w:ascii="Arial" w:hAnsi="Arial" w:cs="Arial"/>
          <w:sz w:val="28"/>
          <w:szCs w:val="28"/>
        </w:rPr>
        <w:t xml:space="preserve">, em seu </w:t>
      </w:r>
      <w:r w:rsidRPr="003E0BAF">
        <w:rPr>
          <w:rFonts w:ascii="Arial" w:hAnsi="Arial" w:cs="Arial"/>
          <w:b/>
          <w:bCs/>
          <w:sz w:val="28"/>
          <w:szCs w:val="28"/>
        </w:rPr>
        <w:t>artigo 9º, inciso I, alínea “b”</w:t>
      </w:r>
      <w:r>
        <w:rPr>
          <w:rFonts w:ascii="Arial" w:hAnsi="Arial" w:cs="Arial"/>
          <w:sz w:val="28"/>
          <w:szCs w:val="28"/>
        </w:rPr>
        <w:t>, regulamenta a matéria.</w:t>
      </w:r>
    </w:p>
    <w:p w14:paraId="0FC2921B" w14:textId="77777777" w:rsidR="001C5DF9" w:rsidRDefault="001C5DF9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AE53779" w14:textId="33A65974" w:rsidR="001C5DF9" w:rsidRPr="001C5DF9" w:rsidRDefault="001C5DF9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1C5DF9">
        <w:rPr>
          <w:rFonts w:ascii="Arial" w:hAnsi="Arial" w:cs="Arial"/>
          <w:sz w:val="28"/>
          <w:szCs w:val="28"/>
        </w:rPr>
        <w:t>Logo, não há vício de iniciativa ou usurpação de competência.</w:t>
      </w:r>
    </w:p>
    <w:p w14:paraId="5027007A" w14:textId="77777777" w:rsidR="00797B07" w:rsidRPr="00797B07" w:rsidRDefault="00797B07" w:rsidP="00797B0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999E719" w14:textId="77777777" w:rsidR="001C5DF9" w:rsidRPr="001C5DF9" w:rsidRDefault="001C5DF9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1C5DF9">
        <w:rPr>
          <w:rFonts w:ascii="Arial" w:hAnsi="Arial" w:cs="Arial"/>
          <w:sz w:val="28"/>
          <w:szCs w:val="28"/>
        </w:rPr>
        <w:t xml:space="preserve">A proposta é </w:t>
      </w:r>
      <w:r w:rsidRPr="001C5DF9">
        <w:rPr>
          <w:rFonts w:ascii="Arial" w:hAnsi="Arial" w:cs="Arial"/>
          <w:b/>
          <w:bCs/>
          <w:sz w:val="28"/>
          <w:szCs w:val="28"/>
        </w:rPr>
        <w:t>juridicamente viável</w:t>
      </w:r>
      <w:r w:rsidRPr="001C5DF9">
        <w:rPr>
          <w:rFonts w:ascii="Arial" w:hAnsi="Arial" w:cs="Arial"/>
          <w:sz w:val="28"/>
          <w:szCs w:val="28"/>
        </w:rPr>
        <w:t>, pois atende aos princípios constitucionais da dignidade da pessoa humana, da função social da propriedade e da justiça fiscal, além de estar adequadamente fundamentada na legislação federal de regência.</w:t>
      </w:r>
    </w:p>
    <w:p w14:paraId="4ACE6E28" w14:textId="77777777" w:rsidR="001C5DF9" w:rsidRDefault="001C5DF9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0317C7F" w14:textId="77777777" w:rsidR="001C5DF9" w:rsidRDefault="001C5DF9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CB1324E" w14:textId="6164E29D" w:rsidR="00313FA5" w:rsidRDefault="00313FA5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13FA5">
        <w:rPr>
          <w:rFonts w:ascii="Arial" w:hAnsi="Arial" w:cs="Arial"/>
          <w:sz w:val="28"/>
          <w:szCs w:val="28"/>
        </w:rPr>
        <w:lastRenderedPageBreak/>
        <w:t>No confronto com o Plano Diretor de Desenvolvimento Territorial e Ambiental de Terra de Areia, a proposição encontra respaldo nas diretrizes de incentivo ao desenvolvimento econômico e social e na busca pela isonomia entre agentes públicos e privados, contudo o prazo de 24 meses de isenção para adquirentes deve ser aplicado com cautela, de modo a não estimular a retenção especulativa de imóveis, prática vedada pelo Estatuto da Cidade e pelo próprio Plano Diretor.</w:t>
      </w:r>
    </w:p>
    <w:p w14:paraId="7EAE3B33" w14:textId="77777777" w:rsidR="00930F75" w:rsidRDefault="00930F75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F19A195" w14:textId="615C0009" w:rsidR="00930F75" w:rsidRDefault="00930F75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30F75">
        <w:rPr>
          <w:rFonts w:ascii="Arial" w:hAnsi="Arial" w:cs="Arial"/>
          <w:sz w:val="28"/>
          <w:szCs w:val="28"/>
        </w:rPr>
        <w:t>O Plano Diretor de Terra de Areia (Lei nº 1988/2011 e alterações)</w:t>
      </w:r>
      <w:r>
        <w:rPr>
          <w:rFonts w:ascii="Arial" w:hAnsi="Arial" w:cs="Arial"/>
          <w:sz w:val="28"/>
          <w:szCs w:val="28"/>
        </w:rPr>
        <w:t xml:space="preserve"> ainda</w:t>
      </w:r>
      <w:r w:rsidRPr="00930F75">
        <w:rPr>
          <w:rFonts w:ascii="Arial" w:hAnsi="Arial" w:cs="Arial"/>
          <w:sz w:val="28"/>
          <w:szCs w:val="28"/>
        </w:rPr>
        <w:t xml:space="preserve"> estabelece como princípios: a justa distribuição dos benefícios e ônus da urbanização, a promoção de cidades sustentáveis, a cooperação entre iniciativa privada e poder público e a utilização de instrumentos tributários como estímulo ao desenvolvimento urbano ordenado</w:t>
      </w:r>
      <w:r>
        <w:rPr>
          <w:rFonts w:ascii="Arial" w:hAnsi="Arial" w:cs="Arial"/>
          <w:sz w:val="28"/>
          <w:szCs w:val="28"/>
        </w:rPr>
        <w:t>.</w:t>
      </w:r>
    </w:p>
    <w:p w14:paraId="6D430E93" w14:textId="77777777" w:rsidR="00930F75" w:rsidRDefault="00930F75" w:rsidP="001C5D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5421C85" w14:textId="6D97FEE3" w:rsidR="005B0A84" w:rsidRDefault="00930F75" w:rsidP="00930F75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Outrossim, o PLC </w:t>
      </w:r>
      <w:r w:rsidRPr="00930F75">
        <w:rPr>
          <w:rFonts w:ascii="Arial" w:hAnsi="Arial" w:cs="Arial"/>
          <w:sz w:val="28"/>
          <w:szCs w:val="28"/>
        </w:rPr>
        <w:t>está alinhado ao art. 2º, incisos III, IX e X do Plano Diretor, que preveem cooperação público-privada, justa distribuição de benefícios e adequação dos instrumentos tributários aos objetivos do desenvolvimento urbano; incentiva a efetiva utilização de imóveis urbanos, em conformidade com o art. 2º, VI, “e” do Plano Diretor, que combate a retenção especulativa de imóveis; harmoniza-se com a diretriz do art. 19, §1º, “c”, que prevê revisão da matriz tributária do Município, especialmente do IPTU, para incentivar novas atividades econômicas e ampliar a capacidade de investimentos públicos.</w:t>
      </w:r>
    </w:p>
    <w:p w14:paraId="661E0DD6" w14:textId="52C6941B" w:rsidR="008467F1" w:rsidRDefault="00B101FB" w:rsidP="00D06B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Conquanto ao escopo social, a legalidade, constitucionalidade e a técnica legislativa disciplinada na LC 95/98 e art. 53 do Regimento Interno desta casa, </w:t>
      </w:r>
      <w:r w:rsidR="00D06BF9">
        <w:rPr>
          <w:rFonts w:ascii="Arial" w:hAnsi="Arial" w:cs="Arial"/>
          <w:sz w:val="28"/>
          <w:szCs w:val="28"/>
        </w:rPr>
        <w:t>o</w:t>
      </w:r>
      <w:r w:rsidR="00930F75">
        <w:rPr>
          <w:rFonts w:ascii="Arial" w:hAnsi="Arial" w:cs="Arial"/>
          <w:sz w:val="28"/>
          <w:szCs w:val="28"/>
        </w:rPr>
        <w:t xml:space="preserve"> </w:t>
      </w:r>
      <w:r w:rsidR="00930F75" w:rsidRPr="00930F75">
        <w:rPr>
          <w:rFonts w:ascii="Arial" w:hAnsi="Arial" w:cs="Arial"/>
          <w:sz w:val="28"/>
          <w:szCs w:val="28"/>
        </w:rPr>
        <w:t>Projeto de Lei Complementar nº 02/2025 é constitucional e legal, estando inserido na competência tributária e urbanística do Município. Sua proposta encontra respaldo nas diretrizes do Plano Diretor de Terra de Areia, ao promover instrumentos tributários voltados ao desenvolvimento urbano ordenado e à cooperação público-privada</w:t>
      </w:r>
      <w:r w:rsidR="00930F75">
        <w:rPr>
          <w:rFonts w:ascii="Arial" w:hAnsi="Arial" w:cs="Arial"/>
          <w:sz w:val="28"/>
          <w:szCs w:val="28"/>
        </w:rPr>
        <w:t>, sendo juridicamente viável sua tramitação desde que respeitados os princípios da transparência fiscal.</w:t>
      </w:r>
    </w:p>
    <w:p w14:paraId="79799E93" w14:textId="77777777" w:rsidR="008467F1" w:rsidRDefault="008467F1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3EE5E0E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A9AEFD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4F0D4A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1A6BE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79207E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2D0005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20B188B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CBC9EC8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25F8DF3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14DFCB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E667761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4E315E8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2BB6FA9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9F30D24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B55071" w14:textId="77777777" w:rsidR="003E0BAF" w:rsidRDefault="003E0BAF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14E9AF42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930F75">
        <w:rPr>
          <w:rFonts w:ascii="Arial" w:hAnsi="Arial" w:cs="Arial"/>
          <w:sz w:val="28"/>
          <w:szCs w:val="28"/>
        </w:rPr>
        <w:t>29</w:t>
      </w:r>
      <w:r w:rsidR="009817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930F75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5919D44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6732C63D" w:rsidR="00C02D3D" w:rsidRPr="006556E4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sectPr w:rsidR="00C02D3D" w:rsidRPr="006556E4" w:rsidSect="00511304">
      <w:headerReference w:type="default" r:id="rId7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CA06" w14:textId="77777777" w:rsidR="00F70E04" w:rsidRDefault="00F70E04" w:rsidP="002A69D2">
      <w:pPr>
        <w:spacing w:after="0" w:line="240" w:lineRule="auto"/>
      </w:pPr>
      <w:r>
        <w:separator/>
      </w:r>
    </w:p>
  </w:endnote>
  <w:endnote w:type="continuationSeparator" w:id="0">
    <w:p w14:paraId="7040F846" w14:textId="77777777" w:rsidR="00F70E04" w:rsidRDefault="00F70E04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D2F14" w14:textId="77777777" w:rsidR="00F70E04" w:rsidRDefault="00F70E04" w:rsidP="002A69D2">
      <w:pPr>
        <w:spacing w:after="0" w:line="240" w:lineRule="auto"/>
      </w:pPr>
      <w:r>
        <w:separator/>
      </w:r>
    </w:p>
  </w:footnote>
  <w:footnote w:type="continuationSeparator" w:id="0">
    <w:p w14:paraId="2F5C4794" w14:textId="77777777" w:rsidR="00F70E04" w:rsidRDefault="00F70E04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52317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5019E"/>
    <w:rsid w:val="00060DFE"/>
    <w:rsid w:val="00063658"/>
    <w:rsid w:val="00066726"/>
    <w:rsid w:val="00070D8A"/>
    <w:rsid w:val="0008552A"/>
    <w:rsid w:val="00096722"/>
    <w:rsid w:val="000B0D42"/>
    <w:rsid w:val="000B14C9"/>
    <w:rsid w:val="000B3185"/>
    <w:rsid w:val="000E281B"/>
    <w:rsid w:val="000F2C56"/>
    <w:rsid w:val="000F57A0"/>
    <w:rsid w:val="001042DA"/>
    <w:rsid w:val="00112167"/>
    <w:rsid w:val="001130B3"/>
    <w:rsid w:val="00123C0D"/>
    <w:rsid w:val="001369BF"/>
    <w:rsid w:val="001511FF"/>
    <w:rsid w:val="00153AEF"/>
    <w:rsid w:val="00155593"/>
    <w:rsid w:val="001A73AD"/>
    <w:rsid w:val="001A7EA4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13FA5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3F0A"/>
    <w:rsid w:val="00464583"/>
    <w:rsid w:val="00466395"/>
    <w:rsid w:val="0049003E"/>
    <w:rsid w:val="00497C2A"/>
    <w:rsid w:val="004C01A3"/>
    <w:rsid w:val="004C232D"/>
    <w:rsid w:val="004F0EAA"/>
    <w:rsid w:val="00507FC6"/>
    <w:rsid w:val="00511304"/>
    <w:rsid w:val="005343D4"/>
    <w:rsid w:val="005517A1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841EA"/>
    <w:rsid w:val="00797B07"/>
    <w:rsid w:val="00797F28"/>
    <w:rsid w:val="007A50E1"/>
    <w:rsid w:val="007C3B67"/>
    <w:rsid w:val="007F018B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87C0E"/>
    <w:rsid w:val="008A323D"/>
    <w:rsid w:val="008B0710"/>
    <w:rsid w:val="008B1A4E"/>
    <w:rsid w:val="008F0263"/>
    <w:rsid w:val="00930F75"/>
    <w:rsid w:val="00972C19"/>
    <w:rsid w:val="00981741"/>
    <w:rsid w:val="009859AA"/>
    <w:rsid w:val="009C0075"/>
    <w:rsid w:val="009E1378"/>
    <w:rsid w:val="009E28AE"/>
    <w:rsid w:val="009E780D"/>
    <w:rsid w:val="00A0427A"/>
    <w:rsid w:val="00A13B11"/>
    <w:rsid w:val="00A70527"/>
    <w:rsid w:val="00AD28AE"/>
    <w:rsid w:val="00AF4DB7"/>
    <w:rsid w:val="00AF67FA"/>
    <w:rsid w:val="00B02194"/>
    <w:rsid w:val="00B101FB"/>
    <w:rsid w:val="00B157FF"/>
    <w:rsid w:val="00B24BDE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360A2"/>
    <w:rsid w:val="00E579F6"/>
    <w:rsid w:val="00ED0E4A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669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2</cp:revision>
  <cp:lastPrinted>2025-02-10T12:14:00Z</cp:lastPrinted>
  <dcterms:created xsi:type="dcterms:W3CDTF">2025-09-01T13:29:00Z</dcterms:created>
  <dcterms:modified xsi:type="dcterms:W3CDTF">2025-09-01T13:29:00Z</dcterms:modified>
</cp:coreProperties>
</file>