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230F44">
        <w:rPr>
          <w:rFonts w:ascii="Arial" w:eastAsia="Calibri" w:hAnsi="Arial" w:cs="Arial"/>
          <w:sz w:val="24"/>
          <w:szCs w:val="24"/>
        </w:rPr>
        <w:t>55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230F44">
        <w:rPr>
          <w:rFonts w:ascii="Arial" w:eastAsia="Calibri" w:hAnsi="Arial" w:cs="Arial"/>
          <w:sz w:val="24"/>
          <w:szCs w:val="24"/>
        </w:rPr>
        <w:t>06 de novembro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0A2A8A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230F44">
        <w:rPr>
          <w:rFonts w:ascii="Arial" w:eastAsia="Calibri" w:hAnsi="Arial" w:cs="Arial"/>
          <w:sz w:val="24"/>
          <w:szCs w:val="24"/>
        </w:rPr>
        <w:t>Dispõe sobre as diretrizes orçamentárias para o exercício financeiro de 2024.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230F44">
        <w:rPr>
          <w:rFonts w:ascii="Arial" w:eastAsia="Calibri" w:hAnsi="Arial" w:cs="Arial"/>
          <w:sz w:val="24"/>
          <w:szCs w:val="24"/>
        </w:rPr>
        <w:t>Lucas Justin Vieira</w:t>
      </w:r>
      <w:r w:rsidR="00D7600B">
        <w:rPr>
          <w:rFonts w:ascii="Arial" w:eastAsia="Calibri" w:hAnsi="Arial" w:cs="Arial"/>
          <w:sz w:val="24"/>
          <w:szCs w:val="24"/>
        </w:rPr>
        <w:t xml:space="preserve">                        </w:t>
      </w:r>
      <w:r w:rsidR="00230F44">
        <w:rPr>
          <w:rFonts w:ascii="Arial" w:eastAsia="Calibri" w:hAnsi="Arial" w:cs="Arial"/>
          <w:sz w:val="24"/>
          <w:szCs w:val="24"/>
        </w:rPr>
        <w:t xml:space="preserve">         </w:t>
      </w:r>
      <w:r w:rsidR="005F218F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0A2A8A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230F44">
        <w:rPr>
          <w:rFonts w:ascii="Arial" w:eastAsia="Calibri" w:hAnsi="Arial" w:cs="Arial"/>
          <w:sz w:val="24"/>
          <w:szCs w:val="24"/>
        </w:rPr>
        <w:t>Dispõe sobre as diretrizes orçamentárias para o exercício financeiro de 2024.</w:t>
      </w:r>
    </w:p>
    <w:p w:rsidR="00230F44" w:rsidRPr="00230F44" w:rsidRDefault="00230F44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30F44" w:rsidRDefault="000A2A8A" w:rsidP="00230F4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230F44">
        <w:rPr>
          <w:rFonts w:ascii="Arial" w:eastAsia="Calibri" w:hAnsi="Arial" w:cs="Arial"/>
          <w:sz w:val="24"/>
          <w:szCs w:val="24"/>
        </w:rPr>
        <w:t>22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230F44">
        <w:rPr>
          <w:rFonts w:ascii="Arial" w:eastAsia="Calibri" w:hAnsi="Arial" w:cs="Arial"/>
          <w:sz w:val="24"/>
          <w:szCs w:val="24"/>
        </w:rPr>
        <w:t>Dispõe sobre as diretrizes orçamentárias para o exercício financeiro de 2024”.</w:t>
      </w:r>
    </w:p>
    <w:p w:rsidR="00CB298D" w:rsidRDefault="00CB298D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7600B" w:rsidRDefault="00D7600B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B298D" w:rsidRDefault="00C83A2C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CB298D">
        <w:rPr>
          <w:rFonts w:ascii="Arial" w:eastAsia="Calibri" w:hAnsi="Arial" w:cs="Arial"/>
          <w:sz w:val="24"/>
          <w:szCs w:val="24"/>
        </w:rPr>
        <w:t xml:space="preserve">de </w:t>
      </w:r>
      <w:r w:rsidR="00230F44">
        <w:rPr>
          <w:rFonts w:ascii="Arial" w:eastAsia="Calibri" w:hAnsi="Arial" w:cs="Arial"/>
          <w:sz w:val="24"/>
          <w:szCs w:val="24"/>
        </w:rPr>
        <w:t>apresentar as metas e prioridades, incluindo despesas de capital para o exercício de 2024.</w:t>
      </w:r>
    </w:p>
    <w:p w:rsidR="008E2E2C" w:rsidRDefault="008E2E2C" w:rsidP="00AD47D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230F44">
        <w:rPr>
          <w:rFonts w:ascii="Arial" w:eastAsia="Calibri" w:hAnsi="Arial" w:cs="Arial"/>
          <w:sz w:val="24"/>
          <w:szCs w:val="24"/>
        </w:rPr>
        <w:t>06 de novembro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0663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0F44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2E2C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47DF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298D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1051A"/>
    <w:rsid w:val="00D318CA"/>
    <w:rsid w:val="00D31EB2"/>
    <w:rsid w:val="00D32265"/>
    <w:rsid w:val="00D33FF2"/>
    <w:rsid w:val="00D37714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2023-09-25T17:50:00Z</cp:lastPrinted>
  <dcterms:created xsi:type="dcterms:W3CDTF">2023-11-14T19:17:00Z</dcterms:created>
  <dcterms:modified xsi:type="dcterms:W3CDTF">2023-11-14T19:17:00Z</dcterms:modified>
</cp:coreProperties>
</file>