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E3BAF">
        <w:rPr>
          <w:rFonts w:ascii="Arial" w:eastAsia="Calibri" w:hAnsi="Arial" w:cs="Arial"/>
          <w:sz w:val="24"/>
          <w:szCs w:val="24"/>
        </w:rPr>
        <w:t>13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2E3BAF">
        <w:rPr>
          <w:rFonts w:ascii="Arial" w:eastAsia="Calibri" w:hAnsi="Arial" w:cs="Arial"/>
          <w:sz w:val="24"/>
          <w:szCs w:val="24"/>
        </w:rPr>
        <w:t>13</w:t>
      </w:r>
      <w:r w:rsidR="003D55CE">
        <w:rPr>
          <w:rFonts w:ascii="Arial" w:eastAsia="Calibri" w:hAnsi="Arial" w:cs="Arial"/>
          <w:sz w:val="24"/>
          <w:szCs w:val="24"/>
        </w:rPr>
        <w:t xml:space="preserve">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B357B" w:rsidRDefault="000A2A8A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 e Secretaria Municipal de Educação e Cultura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DF654C">
        <w:rPr>
          <w:rFonts w:ascii="Arial" w:eastAsia="Calibri" w:hAnsi="Arial" w:cs="Arial"/>
          <w:sz w:val="24"/>
          <w:szCs w:val="24"/>
        </w:rPr>
        <w:t>Lucimara da Silva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DF654C">
        <w:rPr>
          <w:rFonts w:ascii="Arial" w:eastAsia="Calibri" w:hAnsi="Arial" w:cs="Arial"/>
          <w:sz w:val="24"/>
          <w:szCs w:val="24"/>
        </w:rPr>
        <w:t xml:space="preserve">          </w:t>
      </w:r>
      <w:r w:rsidR="00AC0D6B">
        <w:rPr>
          <w:rFonts w:ascii="Arial" w:eastAsia="Calibri" w:hAnsi="Arial" w:cs="Arial"/>
          <w:sz w:val="24"/>
          <w:szCs w:val="24"/>
        </w:rPr>
        <w:t xml:space="preserve">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D55CE" w:rsidRDefault="000A2A8A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 e Secretaria Municipal de Educação e Cultura</w:t>
      </w:r>
    </w:p>
    <w:p w:rsidR="002E3BAF" w:rsidRDefault="002E3BAF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B060D" w:rsidRDefault="000A2A8A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E3BAF">
        <w:rPr>
          <w:rFonts w:ascii="Arial" w:eastAsia="Calibri" w:hAnsi="Arial" w:cs="Arial"/>
          <w:sz w:val="24"/>
          <w:szCs w:val="24"/>
        </w:rPr>
        <w:t>06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2E3BAF">
        <w:rPr>
          <w:rFonts w:ascii="Arial" w:eastAsia="Calibri" w:hAnsi="Arial" w:cs="Arial"/>
          <w:sz w:val="24"/>
          <w:szCs w:val="24"/>
        </w:rPr>
        <w:t>Autoriza a contratação temporária de profissionais para atuarem na Secretaria Municipal de Saúde e Secretaria Municipal de Educação e Cultura”.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C83A2C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a contratação de profissionais para atuarem nas respectivas secretarias afim de suprir as vagas em aberto ocorridas pelo término do contrato.</w:t>
      </w: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E3BAF">
        <w:rPr>
          <w:rFonts w:ascii="Arial" w:eastAsia="Calibri" w:hAnsi="Arial" w:cs="Arial"/>
          <w:sz w:val="24"/>
          <w:szCs w:val="24"/>
        </w:rPr>
        <w:t>13</w:t>
      </w:r>
      <w:r w:rsidR="003D55CE">
        <w:rPr>
          <w:rFonts w:ascii="Arial" w:eastAsia="Calibri" w:hAnsi="Arial" w:cs="Arial"/>
          <w:sz w:val="24"/>
          <w:szCs w:val="24"/>
        </w:rPr>
        <w:t xml:space="preserve">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03A03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DF654C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3</cp:revision>
  <cp:lastPrinted>2023-04-24T17:42:00Z</cp:lastPrinted>
  <dcterms:created xsi:type="dcterms:W3CDTF">2023-03-13T20:06:00Z</dcterms:created>
  <dcterms:modified xsi:type="dcterms:W3CDTF">2023-04-24T17:45:00Z</dcterms:modified>
</cp:coreProperties>
</file>